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67D0D" w14:textId="77777777" w:rsidR="00766AB2" w:rsidRDefault="00766AB2" w:rsidP="00766AB2">
      <w:pPr>
        <w:tabs>
          <w:tab w:val="left" w:pos="4962"/>
        </w:tabs>
        <w:spacing w:line="251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5BBCCA" wp14:editId="03666F92">
            <wp:simplePos x="0" y="0"/>
            <wp:positionH relativeFrom="column">
              <wp:posOffset>14602</wp:posOffset>
            </wp:positionH>
            <wp:positionV relativeFrom="paragraph">
              <wp:posOffset>-14602</wp:posOffset>
            </wp:positionV>
            <wp:extent cx="856619" cy="1141098"/>
            <wp:effectExtent l="0" t="0" r="631" b="1902"/>
            <wp:wrapSquare wrapText="bothSides"/>
            <wp:docPr id="2" name="Kép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6619" cy="11410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Monotype Corsiva" w:eastAsia="Calibri" w:hAnsi="Monotype Corsiva"/>
          <w:b/>
          <w:sz w:val="32"/>
          <w:szCs w:val="32"/>
          <w:lang w:eastAsia="en-US"/>
        </w:rPr>
        <w:t>Gádoros Nagyközség Önkormányzata</w:t>
      </w:r>
    </w:p>
    <w:p w14:paraId="78781976" w14:textId="77777777" w:rsidR="00766AB2" w:rsidRDefault="00766AB2" w:rsidP="00766AB2">
      <w:pPr>
        <w:tabs>
          <w:tab w:val="left" w:pos="3686"/>
        </w:tabs>
        <w:spacing w:line="251" w:lineRule="auto"/>
      </w:pPr>
      <w:r>
        <w:rPr>
          <w:rFonts w:ascii="Monotype Corsiva" w:eastAsia="Calibri" w:hAnsi="Monotype Corsiva"/>
          <w:b/>
          <w:sz w:val="32"/>
          <w:szCs w:val="32"/>
          <w:lang w:eastAsia="en-US"/>
        </w:rPr>
        <w:t>5932 Gádoros, Kossuth Lajos utca 16.</w:t>
      </w:r>
    </w:p>
    <w:p w14:paraId="3275B77C" w14:textId="77777777" w:rsidR="00766AB2" w:rsidRDefault="00766AB2" w:rsidP="00766AB2">
      <w:pPr>
        <w:tabs>
          <w:tab w:val="left" w:pos="3686"/>
        </w:tabs>
        <w:spacing w:line="251" w:lineRule="auto"/>
      </w:pPr>
      <w:r>
        <w:rPr>
          <w:rFonts w:ascii="Monotype Corsiva" w:eastAsia="Calibri" w:hAnsi="Monotype Corsiva"/>
          <w:b/>
          <w:sz w:val="32"/>
          <w:szCs w:val="32"/>
          <w:lang w:eastAsia="en-US"/>
        </w:rPr>
        <w:t>Tel: 06 (68) 490-331 Pf.: 13</w:t>
      </w:r>
    </w:p>
    <w:p w14:paraId="690CCE03" w14:textId="7BD343DA" w:rsidR="00766AB2" w:rsidRDefault="008C2710" w:rsidP="00766AB2">
      <w:pPr>
        <w:tabs>
          <w:tab w:val="left" w:pos="3686"/>
        </w:tabs>
        <w:spacing w:line="251" w:lineRule="auto"/>
      </w:pPr>
      <w:r>
        <w:rPr>
          <w:rFonts w:ascii="Monotype Corsiva" w:eastAsia="Calibri" w:hAnsi="Monotype Corsiva"/>
          <w:b/>
          <w:sz w:val="32"/>
          <w:szCs w:val="32"/>
          <w:lang w:eastAsia="en-US"/>
        </w:rPr>
        <w:t>Honlap</w:t>
      </w:r>
      <w:r w:rsidR="00766AB2">
        <w:rPr>
          <w:rFonts w:ascii="Monotype Corsiva" w:eastAsia="Calibri" w:hAnsi="Monotype Corsiva"/>
          <w:b/>
          <w:sz w:val="32"/>
          <w:szCs w:val="32"/>
          <w:lang w:eastAsia="en-US"/>
        </w:rPr>
        <w:t xml:space="preserve">: </w:t>
      </w:r>
      <w:r w:rsidR="00766AB2">
        <w:rPr>
          <w:rFonts w:ascii="Monotype Corsiva" w:eastAsia="Calibri" w:hAnsi="Monotype Corsiva"/>
          <w:b/>
          <w:i/>
          <w:sz w:val="32"/>
          <w:szCs w:val="32"/>
          <w:lang w:eastAsia="en-US"/>
        </w:rPr>
        <w:t>www.gadoros.hu</w:t>
      </w:r>
      <w:r w:rsidR="00766AB2">
        <w:rPr>
          <w:rFonts w:ascii="Monotype Corsiva" w:eastAsia="Calibri" w:hAnsi="Monotype Corsiva"/>
          <w:b/>
          <w:sz w:val="32"/>
          <w:szCs w:val="32"/>
          <w:lang w:eastAsia="en-US"/>
        </w:rPr>
        <w:tab/>
        <w:t xml:space="preserve">E-mail: </w:t>
      </w:r>
      <w:hyperlink r:id="rId9" w:history="1">
        <w:r w:rsidR="00766AB2" w:rsidRPr="00A35778">
          <w:rPr>
            <w:rFonts w:ascii="Monotype Corsiva" w:eastAsia="Calibri" w:hAnsi="Monotype Corsiva"/>
            <w:b/>
            <w:color w:val="0563C1"/>
            <w:sz w:val="32"/>
            <w:szCs w:val="32"/>
            <w:lang w:eastAsia="en-US"/>
          </w:rPr>
          <w:t>gadoros@gadoros.hu</w:t>
        </w:r>
      </w:hyperlink>
    </w:p>
    <w:p w14:paraId="2B482B3F" w14:textId="77777777" w:rsidR="00766AB2" w:rsidRDefault="00766AB2" w:rsidP="00766AB2">
      <w:pPr>
        <w:tabs>
          <w:tab w:val="left" w:pos="3686"/>
        </w:tabs>
        <w:spacing w:line="251" w:lineRule="auto"/>
        <w:rPr>
          <w:rFonts w:ascii="Monotype Corsiva" w:eastAsia="Calibri" w:hAnsi="Monotype Corsiva"/>
          <w:b/>
          <w:sz w:val="32"/>
          <w:szCs w:val="32"/>
          <w:lang w:eastAsia="en-US"/>
        </w:rPr>
      </w:pPr>
      <w:r>
        <w:rPr>
          <w:rFonts w:ascii="Monotype Corsiva" w:eastAsia="Calibri" w:hAnsi="Monotype Corsiva"/>
          <w:b/>
          <w:sz w:val="32"/>
          <w:szCs w:val="32"/>
          <w:lang w:eastAsia="en-US"/>
        </w:rPr>
        <w:t>Hivatali kapu: GADOROSONK, KRID: 553159149</w:t>
      </w:r>
    </w:p>
    <w:p w14:paraId="6CC59EE8" w14:textId="77777777" w:rsidR="008C2710" w:rsidRDefault="008C2710" w:rsidP="00766AB2">
      <w:pPr>
        <w:tabs>
          <w:tab w:val="left" w:pos="3686"/>
        </w:tabs>
        <w:spacing w:line="251" w:lineRule="auto"/>
      </w:pPr>
    </w:p>
    <w:p w14:paraId="0AAFE7C8" w14:textId="77777777" w:rsidR="00644DA4" w:rsidRDefault="00644DA4" w:rsidP="00DC1A7F">
      <w:pPr>
        <w:jc w:val="center"/>
        <w:rPr>
          <w:b/>
        </w:rPr>
      </w:pPr>
    </w:p>
    <w:p w14:paraId="195B999B" w14:textId="77777777" w:rsidR="00A50563" w:rsidRPr="00AB4F19" w:rsidRDefault="00A50563" w:rsidP="00A50563">
      <w:pPr>
        <w:jc w:val="center"/>
        <w:rPr>
          <w:b/>
          <w:sz w:val="32"/>
          <w:szCs w:val="32"/>
        </w:rPr>
      </w:pPr>
      <w:r w:rsidRPr="00AB4F19">
        <w:rPr>
          <w:b/>
          <w:sz w:val="32"/>
          <w:szCs w:val="32"/>
        </w:rPr>
        <w:t>Előterjesztés</w:t>
      </w:r>
    </w:p>
    <w:p w14:paraId="6A20A0C1" w14:textId="77777777" w:rsidR="00A50563" w:rsidRPr="00AB4F19" w:rsidRDefault="00A50563" w:rsidP="00A50563">
      <w:pPr>
        <w:jc w:val="center"/>
        <w:rPr>
          <w:b/>
          <w:sz w:val="32"/>
          <w:szCs w:val="32"/>
        </w:rPr>
      </w:pPr>
    </w:p>
    <w:p w14:paraId="00C3F6F7" w14:textId="1BCBB367" w:rsidR="00A50563" w:rsidRPr="00AB4F19" w:rsidRDefault="00A50563" w:rsidP="00A50563">
      <w:pPr>
        <w:jc w:val="center"/>
        <w:rPr>
          <w:b/>
          <w:sz w:val="32"/>
          <w:szCs w:val="32"/>
        </w:rPr>
      </w:pPr>
      <w:r w:rsidRPr="00A50563">
        <w:rPr>
          <w:b/>
          <w:sz w:val="32"/>
          <w:szCs w:val="32"/>
        </w:rPr>
        <w:t>Gádoros Nagyközség</w:t>
      </w:r>
      <w:r w:rsidRPr="005D2E09">
        <w:t xml:space="preserve"> </w:t>
      </w:r>
      <w:r w:rsidRPr="00AB4F19">
        <w:rPr>
          <w:b/>
          <w:sz w:val="32"/>
          <w:szCs w:val="32"/>
        </w:rPr>
        <w:t xml:space="preserve">Önkormányzatának </w:t>
      </w:r>
      <w:r>
        <w:rPr>
          <w:b/>
          <w:sz w:val="32"/>
          <w:szCs w:val="32"/>
        </w:rPr>
        <w:t>20</w:t>
      </w:r>
      <w:r w:rsidR="00766AB2">
        <w:rPr>
          <w:b/>
          <w:sz w:val="32"/>
          <w:szCs w:val="32"/>
        </w:rPr>
        <w:t>2</w:t>
      </w:r>
      <w:r w:rsidR="00293350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>. május</w:t>
      </w:r>
      <w:r w:rsidR="002B1EE3">
        <w:rPr>
          <w:b/>
          <w:sz w:val="32"/>
          <w:szCs w:val="32"/>
        </w:rPr>
        <w:t xml:space="preserve"> 27-é</w:t>
      </w:r>
      <w:r>
        <w:rPr>
          <w:b/>
          <w:sz w:val="32"/>
          <w:szCs w:val="32"/>
        </w:rPr>
        <w:t xml:space="preserve">n tartandó </w:t>
      </w:r>
      <w:r w:rsidRPr="00AB4F19">
        <w:rPr>
          <w:b/>
          <w:sz w:val="32"/>
          <w:szCs w:val="32"/>
        </w:rPr>
        <w:t>Képviselő-testület</w:t>
      </w:r>
      <w:r>
        <w:rPr>
          <w:b/>
          <w:sz w:val="32"/>
          <w:szCs w:val="32"/>
        </w:rPr>
        <w:t>i ülésére</w:t>
      </w:r>
    </w:p>
    <w:p w14:paraId="78E615F4" w14:textId="77777777" w:rsidR="00A50563" w:rsidRPr="00AB4F19" w:rsidRDefault="00A50563" w:rsidP="00A50563">
      <w:pPr>
        <w:jc w:val="center"/>
        <w:rPr>
          <w:b/>
          <w:sz w:val="28"/>
          <w:szCs w:val="28"/>
        </w:rPr>
      </w:pPr>
    </w:p>
    <w:p w14:paraId="2DE522A3" w14:textId="77777777" w:rsidR="00A50563" w:rsidRPr="00A50563" w:rsidRDefault="00A50563" w:rsidP="00A50563">
      <w:pPr>
        <w:jc w:val="center"/>
        <w:rPr>
          <w:b/>
          <w:sz w:val="28"/>
          <w:szCs w:val="28"/>
        </w:rPr>
      </w:pPr>
      <w:r w:rsidRPr="00A50563">
        <w:rPr>
          <w:b/>
          <w:sz w:val="28"/>
          <w:szCs w:val="28"/>
        </w:rPr>
        <w:t>Gádoros Nagyközség</w:t>
      </w:r>
      <w:r w:rsidRPr="00A50563">
        <w:rPr>
          <w:b/>
        </w:rPr>
        <w:t xml:space="preserve"> </w:t>
      </w:r>
      <w:r w:rsidRPr="00A50563">
        <w:rPr>
          <w:b/>
          <w:sz w:val="28"/>
          <w:szCs w:val="28"/>
        </w:rPr>
        <w:t xml:space="preserve">Önkormányzata </w:t>
      </w:r>
      <w:r w:rsidR="00293350">
        <w:rPr>
          <w:b/>
          <w:sz w:val="28"/>
          <w:szCs w:val="28"/>
        </w:rPr>
        <w:t>2024</w:t>
      </w:r>
      <w:r w:rsidRPr="00A50563">
        <w:rPr>
          <w:b/>
          <w:sz w:val="28"/>
          <w:szCs w:val="28"/>
        </w:rPr>
        <w:t>. évi belső ellenőrzéséről</w:t>
      </w:r>
    </w:p>
    <w:p w14:paraId="4A6E82EF" w14:textId="77777777" w:rsidR="00A50563" w:rsidRDefault="00A50563" w:rsidP="00A50563">
      <w:pPr>
        <w:jc w:val="center"/>
        <w:rPr>
          <w:b/>
        </w:rPr>
      </w:pPr>
    </w:p>
    <w:p w14:paraId="0CA1DBC0" w14:textId="77777777" w:rsidR="00A50563" w:rsidRDefault="00A50563" w:rsidP="00A50563">
      <w:pPr>
        <w:jc w:val="center"/>
        <w:rPr>
          <w:b/>
        </w:rPr>
      </w:pPr>
    </w:p>
    <w:p w14:paraId="38780ED2" w14:textId="77777777" w:rsidR="00A50563" w:rsidRDefault="00A50563" w:rsidP="00A50563">
      <w:pPr>
        <w:jc w:val="both"/>
      </w:pPr>
      <w:r w:rsidRPr="0074170F">
        <w:rPr>
          <w:b/>
        </w:rPr>
        <w:t>Tisztelt Képviselő-testület</w:t>
      </w:r>
      <w:r>
        <w:t>!</w:t>
      </w:r>
    </w:p>
    <w:p w14:paraId="70DD5F5C" w14:textId="77777777" w:rsidR="00A50563" w:rsidRDefault="00A50563" w:rsidP="00A50563">
      <w:pPr>
        <w:jc w:val="both"/>
      </w:pPr>
    </w:p>
    <w:p w14:paraId="77A03ACA" w14:textId="77777777" w:rsidR="00E866C4" w:rsidRDefault="00E866C4" w:rsidP="00E866C4">
      <w:pPr>
        <w:jc w:val="both"/>
      </w:pPr>
      <w:r>
        <w:t>Magyarország helyi önkormányzatairól szóló 2011. évi CLXXXIX. törvény (</w:t>
      </w:r>
      <w:proofErr w:type="spellStart"/>
      <w:r>
        <w:t>Mötv</w:t>
      </w:r>
      <w:proofErr w:type="spellEnd"/>
      <w:r>
        <w:t>.) 119. §. (4) bekezdése alapján a jegyző köteles gondoskodni – a belső kontrollrendszeren belül – a belső ellenőrzés működtetéséről. A helyi önkormányzat belsőellenőrzése keretében gondoskodni kell a felügyelt költségvetési szervek ellenőrzéséről is.</w:t>
      </w:r>
    </w:p>
    <w:p w14:paraId="58FC46A6" w14:textId="77777777" w:rsidR="00E866C4" w:rsidRDefault="00E866C4" w:rsidP="00E866C4">
      <w:pPr>
        <w:jc w:val="both"/>
      </w:pPr>
    </w:p>
    <w:p w14:paraId="612F4477" w14:textId="77777777" w:rsidR="00E866C4" w:rsidRDefault="00E866C4" w:rsidP="00E866C4">
      <w:pPr>
        <w:jc w:val="both"/>
      </w:pPr>
      <w:r>
        <w:t>A költségvetési szervek belső kontrollrendszeréről és belső ellenőrzéséről szóló 370/2011. (XII.31.) Korm. rendelet (</w:t>
      </w:r>
      <w:proofErr w:type="spellStart"/>
      <w:r>
        <w:t>Bkr</w:t>
      </w:r>
      <w:proofErr w:type="spellEnd"/>
      <w:r>
        <w:t>.) 48-49. § értelmében éves ellenőrzési jelentést kell készíteni a belsőellenőrzés tevékenységéről az előírt tartalmi követelményeknek megfelelően.</w:t>
      </w:r>
    </w:p>
    <w:p w14:paraId="6D62743A" w14:textId="77777777" w:rsidR="00E866C4" w:rsidRDefault="00E866C4" w:rsidP="00E866C4">
      <w:pPr>
        <w:jc w:val="both"/>
      </w:pPr>
    </w:p>
    <w:p w14:paraId="7511BD98" w14:textId="77777777" w:rsidR="00E866C4" w:rsidRDefault="00E866C4" w:rsidP="00E866C4">
      <w:pPr>
        <w:jc w:val="both"/>
      </w:pPr>
      <w:r>
        <w:t>A 370/2011. (XII.31.) Korm. rendelet 49. § (3a) bekezdése szerint:</w:t>
      </w:r>
    </w:p>
    <w:p w14:paraId="44A3590B" w14:textId="77777777" w:rsidR="00E866C4" w:rsidRDefault="00E866C4" w:rsidP="00E866C4">
      <w:pPr>
        <w:jc w:val="both"/>
      </w:pPr>
      <w:r>
        <w:t>„49. § (3a) A jegyző a tárgyévre vonatkozó éves ellenőrzési jelentést, valamint a helyi önkormányzat által alapított költségvetési szervek éves ellenőrzési jelentései alapján készített éves összefoglaló ellenőrzési jelentést - a tárgyévet követően, legkésőbb a zárszámadási rendelet elfogadásáig - a képviselő-testület elé terjeszti jóváhagyásra.”</w:t>
      </w:r>
    </w:p>
    <w:p w14:paraId="499BD955" w14:textId="77777777" w:rsidR="00E866C4" w:rsidRDefault="00E866C4" w:rsidP="00E866C4">
      <w:pPr>
        <w:jc w:val="both"/>
      </w:pPr>
    </w:p>
    <w:p w14:paraId="7AED5FA7" w14:textId="77777777" w:rsidR="00E866C4" w:rsidRDefault="00E866C4" w:rsidP="00E866C4">
      <w:pPr>
        <w:jc w:val="both"/>
      </w:pPr>
      <w:r>
        <w:t>Fenti előírások szerinti ellenőrzési jelentés elkészült, mely jelen előterjesztés mellékletét képezi. A jelentés tanúsítja az önkormányzat belső ellenőrzésének megvalósulását.</w:t>
      </w:r>
    </w:p>
    <w:p w14:paraId="7F7B7855" w14:textId="77777777" w:rsidR="00E866C4" w:rsidRDefault="00E866C4" w:rsidP="00E866C4">
      <w:pPr>
        <w:jc w:val="both"/>
      </w:pPr>
    </w:p>
    <w:p w14:paraId="3EC46005" w14:textId="0267C5FE" w:rsidR="00E866C4" w:rsidRDefault="00E866C4" w:rsidP="00E866C4">
      <w:pPr>
        <w:jc w:val="both"/>
      </w:pPr>
      <w:r>
        <w:t>Kérem a Tisztelt Képviselő-testületet, hogy Gádoros N</w:t>
      </w:r>
      <w:r w:rsidR="0027359C">
        <w:t>agyközség</w:t>
      </w:r>
      <w:r>
        <w:t xml:space="preserve"> Önkormányzata </w:t>
      </w:r>
      <w:r w:rsidR="00293350">
        <w:t>2024</w:t>
      </w:r>
      <w:r w:rsidR="008C2710">
        <w:t>.</w:t>
      </w:r>
      <w:r>
        <w:t xml:space="preserve"> évi ellenőrzési jelentését jóváhagyni szíveskedjen!</w:t>
      </w:r>
    </w:p>
    <w:p w14:paraId="0EA4857F" w14:textId="77777777" w:rsidR="00E866C4" w:rsidRDefault="00E866C4" w:rsidP="00E866C4">
      <w:pPr>
        <w:jc w:val="both"/>
      </w:pPr>
    </w:p>
    <w:p w14:paraId="6D937CEB" w14:textId="77777777" w:rsidR="008C2710" w:rsidRPr="008C2710" w:rsidRDefault="00E866C4" w:rsidP="008C2710">
      <w:pPr>
        <w:rPr>
          <w:b/>
        </w:rPr>
      </w:pPr>
      <w:r>
        <w:br w:type="page"/>
      </w:r>
      <w:r w:rsidR="008C2710" w:rsidRPr="008C2710">
        <w:rPr>
          <w:b/>
        </w:rPr>
        <w:lastRenderedPageBreak/>
        <w:t>Határozati javaslat</w:t>
      </w:r>
    </w:p>
    <w:p w14:paraId="4E2C3EB4" w14:textId="77777777" w:rsidR="008C2710" w:rsidRDefault="008C2710" w:rsidP="008C2710">
      <w:pPr>
        <w:ind w:right="1701"/>
        <w:jc w:val="both"/>
      </w:pPr>
    </w:p>
    <w:p w14:paraId="7E88B1AA" w14:textId="77777777" w:rsidR="008C2710" w:rsidRDefault="008C2710" w:rsidP="00E866C4">
      <w:pPr>
        <w:jc w:val="center"/>
      </w:pPr>
    </w:p>
    <w:p w14:paraId="3C4540C1" w14:textId="6D4649B3" w:rsidR="00E866C4" w:rsidRDefault="00E866C4" w:rsidP="002B1EE3">
      <w:pPr>
        <w:ind w:right="1701"/>
        <w:jc w:val="both"/>
      </w:pPr>
      <w:r>
        <w:t xml:space="preserve">Gádoros Nagyközségi </w:t>
      </w:r>
      <w:r w:rsidRPr="005D2E09">
        <w:t>Önkormányzat Képviselő</w:t>
      </w:r>
      <w:r>
        <w:t>-</w:t>
      </w:r>
      <w:r w:rsidRPr="005D2E09">
        <w:t xml:space="preserve">testülete a </w:t>
      </w:r>
      <w:r w:rsidR="00293350">
        <w:t>2024</w:t>
      </w:r>
      <w:r w:rsidR="00900CEE">
        <w:t>.</w:t>
      </w:r>
      <w:r w:rsidRPr="005D2E09">
        <w:t xml:space="preserve"> évben végzett belső ellenőrzésről szóló éves ellenőrzési jelentést </w:t>
      </w:r>
      <w:r>
        <w:t>jóváhagyja</w:t>
      </w:r>
      <w:r w:rsidRPr="005D2E09">
        <w:t>.</w:t>
      </w:r>
    </w:p>
    <w:p w14:paraId="47D2020E" w14:textId="77777777" w:rsidR="00E866C4" w:rsidRDefault="00E866C4" w:rsidP="00E866C4">
      <w:pPr>
        <w:jc w:val="both"/>
      </w:pPr>
    </w:p>
    <w:p w14:paraId="5EA5BA09" w14:textId="77777777" w:rsidR="00E866C4" w:rsidRPr="005D2E09" w:rsidRDefault="00E866C4" w:rsidP="00E866C4">
      <w:pPr>
        <w:jc w:val="both"/>
      </w:pPr>
    </w:p>
    <w:p w14:paraId="16DEDB24" w14:textId="7988DC22" w:rsidR="00E866C4" w:rsidRDefault="00E866C4" w:rsidP="00E866C4">
      <w:pPr>
        <w:jc w:val="both"/>
      </w:pPr>
      <w:r>
        <w:t>Gádoros, 202</w:t>
      </w:r>
      <w:r w:rsidR="00293350">
        <w:t>5</w:t>
      </w:r>
      <w:r>
        <w:t xml:space="preserve">. május </w:t>
      </w:r>
      <w:r w:rsidR="002B1EE3">
        <w:t>6.</w:t>
      </w:r>
    </w:p>
    <w:p w14:paraId="7E89AED2" w14:textId="77777777" w:rsidR="00E866C4" w:rsidRDefault="00E866C4" w:rsidP="00E866C4">
      <w:pPr>
        <w:jc w:val="both"/>
      </w:pPr>
    </w:p>
    <w:p w14:paraId="030497B8" w14:textId="77777777" w:rsidR="00E866C4" w:rsidRDefault="00E866C4" w:rsidP="00E866C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B185750" w14:textId="77777777" w:rsidR="00E866C4" w:rsidRDefault="00E866C4" w:rsidP="00E866C4">
      <w:pPr>
        <w:jc w:val="both"/>
      </w:pPr>
    </w:p>
    <w:p w14:paraId="7FDA7DE3" w14:textId="77777777" w:rsidR="00E866C4" w:rsidRDefault="00E866C4" w:rsidP="00E866C4">
      <w:pPr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866C4" w14:paraId="438ACD5F" w14:textId="77777777" w:rsidTr="00E866C4">
        <w:tc>
          <w:tcPr>
            <w:tcW w:w="4531" w:type="dxa"/>
          </w:tcPr>
          <w:p w14:paraId="7C1C67E5" w14:textId="77777777" w:rsidR="00E866C4" w:rsidRDefault="00E866C4" w:rsidP="00E866C4">
            <w:pPr>
              <w:jc w:val="both"/>
            </w:pPr>
          </w:p>
        </w:tc>
        <w:tc>
          <w:tcPr>
            <w:tcW w:w="4531" w:type="dxa"/>
          </w:tcPr>
          <w:p w14:paraId="68CAB4E6" w14:textId="77777777" w:rsidR="00E866C4" w:rsidRDefault="00E866C4" w:rsidP="00E866C4">
            <w:pPr>
              <w:jc w:val="center"/>
              <w:rPr>
                <w:rStyle w:val="markedcontent"/>
              </w:rPr>
            </w:pPr>
            <w:r w:rsidRPr="00410BA5">
              <w:rPr>
                <w:rStyle w:val="markedcontent"/>
              </w:rPr>
              <w:t>Kőszegi Erzsébet Mária</w:t>
            </w:r>
          </w:p>
        </w:tc>
      </w:tr>
      <w:tr w:rsidR="00E866C4" w14:paraId="0B2A008A" w14:textId="77777777" w:rsidTr="00E866C4">
        <w:tc>
          <w:tcPr>
            <w:tcW w:w="4531" w:type="dxa"/>
          </w:tcPr>
          <w:p w14:paraId="3EF58BFB" w14:textId="77777777" w:rsidR="00E866C4" w:rsidRDefault="00E866C4" w:rsidP="00E866C4">
            <w:pPr>
              <w:jc w:val="both"/>
            </w:pPr>
          </w:p>
        </w:tc>
        <w:tc>
          <w:tcPr>
            <w:tcW w:w="4531" w:type="dxa"/>
          </w:tcPr>
          <w:tbl>
            <w:tblPr>
              <w:tblStyle w:val="Rcsostblzat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15"/>
            </w:tblGrid>
            <w:tr w:rsidR="00E866C4" w14:paraId="633CEF75" w14:textId="77777777" w:rsidTr="00C3620D">
              <w:tc>
                <w:tcPr>
                  <w:tcW w:w="4814" w:type="dxa"/>
                </w:tcPr>
                <w:p w14:paraId="6D07E72F" w14:textId="77777777" w:rsidR="00E866C4" w:rsidRDefault="00E866C4" w:rsidP="00E866C4">
                  <w:pPr>
                    <w:jc w:val="center"/>
                    <w:rPr>
                      <w:rStyle w:val="markedcontent"/>
                    </w:rPr>
                  </w:pPr>
                  <w:r w:rsidRPr="00410BA5">
                    <w:rPr>
                      <w:rStyle w:val="markedcontent"/>
                    </w:rPr>
                    <w:t>jegyző</w:t>
                  </w:r>
                </w:p>
              </w:tc>
            </w:tr>
          </w:tbl>
          <w:p w14:paraId="33BB3F3C" w14:textId="77777777" w:rsidR="00E866C4" w:rsidRDefault="00E866C4" w:rsidP="00E866C4">
            <w:pPr>
              <w:jc w:val="both"/>
            </w:pPr>
          </w:p>
          <w:p w14:paraId="3175B192" w14:textId="77777777" w:rsidR="00E866C4" w:rsidRDefault="00E866C4" w:rsidP="00E866C4">
            <w:pPr>
              <w:jc w:val="both"/>
            </w:pPr>
          </w:p>
        </w:tc>
      </w:tr>
    </w:tbl>
    <w:p w14:paraId="65636115" w14:textId="77777777" w:rsidR="00E866C4" w:rsidRDefault="00E866C4" w:rsidP="00E866C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98E8F6D" w14:textId="77777777" w:rsidR="00A50563" w:rsidRDefault="00E866C4" w:rsidP="00E866C4">
      <w:pPr>
        <w:jc w:val="center"/>
        <w:rPr>
          <w:b/>
          <w:caps/>
        </w:rPr>
      </w:pPr>
      <w:r>
        <w:rPr>
          <w:b/>
        </w:rPr>
        <w:br w:type="page"/>
      </w:r>
      <w:r w:rsidR="00A50563" w:rsidRPr="0074170F">
        <w:rPr>
          <w:b/>
          <w:caps/>
        </w:rPr>
        <w:lastRenderedPageBreak/>
        <w:t xml:space="preserve">ÉVES ELLENŐRZÉSI </w:t>
      </w:r>
      <w:r w:rsidR="00A50563">
        <w:rPr>
          <w:b/>
          <w:caps/>
        </w:rPr>
        <w:t>JELENTÉS, Továbbá</w:t>
      </w:r>
    </w:p>
    <w:p w14:paraId="3D210AAF" w14:textId="77777777" w:rsidR="00A50563" w:rsidRPr="0074170F" w:rsidRDefault="00A50563" w:rsidP="00A50563">
      <w:pPr>
        <w:jc w:val="center"/>
        <w:rPr>
          <w:b/>
          <w:caps/>
        </w:rPr>
      </w:pPr>
      <w:r>
        <w:rPr>
          <w:b/>
          <w:caps/>
        </w:rPr>
        <w:t>Éves ÖSSZEFOGLALÓ ELLENŐRZÉSI JELENTÉS</w:t>
      </w:r>
    </w:p>
    <w:p w14:paraId="37A3BD5B" w14:textId="77777777" w:rsidR="00A50563" w:rsidRDefault="00A50563" w:rsidP="00A50563">
      <w:pPr>
        <w:jc w:val="center"/>
        <w:rPr>
          <w:b/>
        </w:rPr>
      </w:pPr>
    </w:p>
    <w:p w14:paraId="1FA42779" w14:textId="77777777" w:rsidR="00A50563" w:rsidRDefault="00A50563" w:rsidP="00A50563">
      <w:pPr>
        <w:jc w:val="center"/>
        <w:rPr>
          <w:b/>
        </w:rPr>
      </w:pPr>
      <w:r>
        <w:rPr>
          <w:b/>
        </w:rPr>
        <w:t>Gádoros Nagyközség Ö</w:t>
      </w:r>
      <w:r w:rsidRPr="00830C2F">
        <w:rPr>
          <w:b/>
        </w:rPr>
        <w:t>nkormányzat</w:t>
      </w:r>
      <w:r>
        <w:rPr>
          <w:b/>
        </w:rPr>
        <w:t>ánál</w:t>
      </w:r>
      <w:r w:rsidRPr="00830C2F">
        <w:rPr>
          <w:b/>
        </w:rPr>
        <w:t xml:space="preserve"> </w:t>
      </w:r>
      <w:r w:rsidR="00293350">
        <w:rPr>
          <w:b/>
        </w:rPr>
        <w:t>2024</w:t>
      </w:r>
      <w:r>
        <w:rPr>
          <w:b/>
        </w:rPr>
        <w:t>.</w:t>
      </w:r>
      <w:r w:rsidRPr="00830C2F">
        <w:rPr>
          <w:b/>
        </w:rPr>
        <w:t xml:space="preserve"> év</w:t>
      </w:r>
      <w:r>
        <w:rPr>
          <w:b/>
        </w:rPr>
        <w:t xml:space="preserve">ben végzett </w:t>
      </w:r>
      <w:r w:rsidRPr="00830C2F">
        <w:rPr>
          <w:b/>
        </w:rPr>
        <w:t>belső ellenőrzés</w:t>
      </w:r>
      <w:r>
        <w:rPr>
          <w:b/>
        </w:rPr>
        <w:t>ekről</w:t>
      </w:r>
    </w:p>
    <w:p w14:paraId="778B1782" w14:textId="77777777" w:rsidR="00F93B81" w:rsidRDefault="00F93B81" w:rsidP="00DC1A7F">
      <w:pPr>
        <w:jc w:val="center"/>
        <w:rPr>
          <w:b/>
        </w:rPr>
      </w:pPr>
    </w:p>
    <w:p w14:paraId="2E11CC2A" w14:textId="149C2475" w:rsidR="00D66D30" w:rsidRDefault="00AC151B" w:rsidP="00830C2F">
      <w:pPr>
        <w:jc w:val="both"/>
      </w:pPr>
      <w:r>
        <w:t>Magyarország helyi önkormányzatairól szóló 2011. évi CLXXXIX. törvény 119. §. (4) bekezdésében foglalt kötelezettségnek eleget téve az Önkormányzat</w:t>
      </w:r>
      <w:r w:rsidR="00334E45">
        <w:t xml:space="preserve"> jegyzője</w:t>
      </w:r>
      <w:r>
        <w:t xml:space="preserve"> a belső</w:t>
      </w:r>
      <w:r w:rsidR="00871030">
        <w:t xml:space="preserve"> </w:t>
      </w:r>
      <w:r>
        <w:t xml:space="preserve">ellenőrzés működtetéséről </w:t>
      </w:r>
      <w:r w:rsidR="00293350">
        <w:t>2024</w:t>
      </w:r>
      <w:r w:rsidR="00733736">
        <w:t>.</w:t>
      </w:r>
      <w:r>
        <w:t xml:space="preserve"> évben is gondoskodott az államháztartásért felelős miniszter által közzétett módszer</w:t>
      </w:r>
      <w:r w:rsidR="00306F5D">
        <w:t>t</w:t>
      </w:r>
      <w:r>
        <w:t>ani útmutató</w:t>
      </w:r>
      <w:r w:rsidR="00306F5D">
        <w:t>k és a nemzetközi belső ellenőrzési standardok figyelembevételével, melynek keretében a felügyelt költségvetési szervek ellenőrzése is megvalósult.</w:t>
      </w:r>
    </w:p>
    <w:p w14:paraId="7BD23D7F" w14:textId="77777777" w:rsidR="00306F5D" w:rsidRDefault="00306F5D" w:rsidP="00830C2F">
      <w:pPr>
        <w:jc w:val="both"/>
      </w:pPr>
    </w:p>
    <w:p w14:paraId="4B8E33F6" w14:textId="77777777" w:rsidR="00306F5D" w:rsidRPr="00306F5D" w:rsidRDefault="00306F5D" w:rsidP="00830C2F">
      <w:pPr>
        <w:jc w:val="both"/>
        <w:rPr>
          <w:b/>
        </w:rPr>
      </w:pPr>
      <w:r w:rsidRPr="00306F5D">
        <w:rPr>
          <w:b/>
        </w:rPr>
        <w:t>Vezetői összefoglaló</w:t>
      </w:r>
    </w:p>
    <w:p w14:paraId="296C43E7" w14:textId="77777777" w:rsidR="00B136AE" w:rsidRDefault="00B136AE" w:rsidP="00830C2F">
      <w:pPr>
        <w:jc w:val="both"/>
      </w:pPr>
    </w:p>
    <w:p w14:paraId="3975BF19" w14:textId="77777777" w:rsidR="00D66D30" w:rsidRDefault="00485E68" w:rsidP="00830C2F">
      <w:pPr>
        <w:jc w:val="both"/>
      </w:pPr>
      <w:r>
        <w:t>A</w:t>
      </w:r>
      <w:r w:rsidR="00306F5D">
        <w:t xml:space="preserve"> belső ellenőrzés</w:t>
      </w:r>
      <w:r w:rsidR="00334E45">
        <w:t xml:space="preserve"> </w:t>
      </w:r>
      <w:r w:rsidR="00306F5D">
        <w:t>teljesítette a Képviselő-testület</w:t>
      </w:r>
      <w:r w:rsidR="00D9265B">
        <w:t xml:space="preserve"> által jóváhagyott </w:t>
      </w:r>
      <w:r>
        <w:t xml:space="preserve">módosított </w:t>
      </w:r>
      <w:r w:rsidR="00D9265B">
        <w:t>ellenő</w:t>
      </w:r>
      <w:r w:rsidR="00333ABD">
        <w:t>rzési tervben előírt ellenőrzés</w:t>
      </w:r>
      <w:r w:rsidR="00D9265B">
        <w:t xml:space="preserve">t. Az ellenőrzési terv az ellenőrzési kapacitás figyelembevételével </w:t>
      </w:r>
      <w:r w:rsidR="00333ABD">
        <w:t>lett kidolgozva. Az ellenőrzés</w:t>
      </w:r>
      <w:r w:rsidR="00D9265B">
        <w:t>ről készült jelentés</w:t>
      </w:r>
      <w:r w:rsidR="00333ABD">
        <w:t xml:space="preserve"> részletesen ismertette</w:t>
      </w:r>
      <w:r w:rsidR="00D9265B">
        <w:t xml:space="preserve"> a megállapításokat és a felmerült hiányosságok megoldására javaslatot is</w:t>
      </w:r>
      <w:r w:rsidR="00333ABD">
        <w:t xml:space="preserve"> tartalmazott</w:t>
      </w:r>
      <w:r w:rsidR="00D9265B">
        <w:t xml:space="preserve">, így megfelelt a velük </w:t>
      </w:r>
      <w:r w:rsidR="000E07FF">
        <w:t>szemben támasztott</w:t>
      </w:r>
      <w:r w:rsidR="00D9265B">
        <w:t xml:space="preserve"> követelményeknek.</w:t>
      </w:r>
    </w:p>
    <w:p w14:paraId="7530F52D" w14:textId="77777777" w:rsidR="00D9265B" w:rsidRDefault="00533E04" w:rsidP="00830C2F">
      <w:pPr>
        <w:jc w:val="both"/>
      </w:pPr>
      <w:r>
        <w:t>A belső ellenőrzések alkalmával készült jelentésben foglalt megállapításokból néhány fontos következt</w:t>
      </w:r>
      <w:r w:rsidR="00EB0D10">
        <w:t>etés levonható. E következtetés</w:t>
      </w:r>
      <w:r>
        <w:t xml:space="preserve"> az alábbiak szerint fogalmazható meg:</w:t>
      </w:r>
    </w:p>
    <w:p w14:paraId="723AAA0B" w14:textId="77777777" w:rsidR="00533E04" w:rsidRDefault="00533E04" w:rsidP="00830C2F">
      <w:pPr>
        <w:jc w:val="both"/>
      </w:pPr>
    </w:p>
    <w:p w14:paraId="4F9A5B03" w14:textId="77777777" w:rsidR="00533E04" w:rsidRDefault="00533E04" w:rsidP="00ED5E63">
      <w:pPr>
        <w:numPr>
          <w:ilvl w:val="0"/>
          <w:numId w:val="10"/>
        </w:numPr>
        <w:jc w:val="both"/>
      </w:pPr>
      <w:r>
        <w:t xml:space="preserve">Az ellenőrzések során </w:t>
      </w:r>
      <w:r w:rsidR="00ED5E63">
        <w:t>büntető, szabálysértési, kártérítési eljárás megindítására okot adó cselekmény vagy hiányosság nem merült fel.</w:t>
      </w:r>
    </w:p>
    <w:p w14:paraId="6FA25508" w14:textId="77777777" w:rsidR="00ED5E63" w:rsidRDefault="00ED5E63" w:rsidP="00ED5E63">
      <w:pPr>
        <w:numPr>
          <w:ilvl w:val="0"/>
          <w:numId w:val="10"/>
        </w:numPr>
        <w:jc w:val="both"/>
      </w:pPr>
      <w:r>
        <w:t>Az ellenőrzések megállapításaival, a megfogalmazott javaslatokkal kapcsolatban az ellenőrzött szervezeti egységek észrevételt nem tettek.</w:t>
      </w:r>
    </w:p>
    <w:p w14:paraId="41A51708" w14:textId="77777777" w:rsidR="001A7E37" w:rsidRDefault="00ED5E63" w:rsidP="00830C2F">
      <w:pPr>
        <w:numPr>
          <w:ilvl w:val="0"/>
          <w:numId w:val="10"/>
        </w:numPr>
        <w:jc w:val="both"/>
      </w:pPr>
      <w:r>
        <w:t>A belső ellenőrzés „Ellenőrzési jelentése” a hiányosságok feltárása mellett</w:t>
      </w:r>
      <w:r w:rsidR="001A7E37">
        <w:t xml:space="preserve"> azok kijavítására irányuló javaslatokat tartalmazott. Ezzel az ellenőrzés hozzájárult, hogy az ellenőrzött szervezet működését fejlessze.</w:t>
      </w:r>
    </w:p>
    <w:p w14:paraId="757162F2" w14:textId="77777777" w:rsidR="00426E24" w:rsidRDefault="00426E24" w:rsidP="00426E24">
      <w:pPr>
        <w:ind w:left="360"/>
        <w:jc w:val="both"/>
      </w:pPr>
    </w:p>
    <w:p w14:paraId="19EDE457" w14:textId="77777777" w:rsidR="001A7E37" w:rsidRDefault="001A7E37" w:rsidP="00426E24">
      <w:pPr>
        <w:numPr>
          <w:ilvl w:val="0"/>
          <w:numId w:val="11"/>
        </w:numPr>
        <w:tabs>
          <w:tab w:val="clear" w:pos="720"/>
          <w:tab w:val="num" w:pos="0"/>
        </w:tabs>
        <w:ind w:left="0" w:firstLine="0"/>
        <w:jc w:val="both"/>
        <w:rPr>
          <w:b/>
        </w:rPr>
      </w:pPr>
      <w:r>
        <w:rPr>
          <w:b/>
        </w:rPr>
        <w:t>A belső ellenőrzés által végzett tevékenység bemutatása önértékelés alapján</w:t>
      </w:r>
    </w:p>
    <w:p w14:paraId="565D8BFC" w14:textId="77777777" w:rsidR="001620AB" w:rsidRDefault="001620AB" w:rsidP="00426E24">
      <w:pPr>
        <w:tabs>
          <w:tab w:val="num" w:pos="0"/>
        </w:tabs>
        <w:jc w:val="both"/>
        <w:rPr>
          <w:b/>
        </w:rPr>
      </w:pPr>
    </w:p>
    <w:p w14:paraId="5DD02D18" w14:textId="77777777" w:rsidR="001620AB" w:rsidRDefault="001620AB" w:rsidP="00426E24">
      <w:pPr>
        <w:numPr>
          <w:ilvl w:val="1"/>
          <w:numId w:val="11"/>
        </w:numPr>
        <w:tabs>
          <w:tab w:val="num" w:pos="0"/>
        </w:tabs>
        <w:jc w:val="both"/>
        <w:rPr>
          <w:b/>
        </w:rPr>
      </w:pPr>
      <w:r>
        <w:rPr>
          <w:b/>
        </w:rPr>
        <w:t>Az ellenőrzési tervben foglalt feladatok teljesítése</w:t>
      </w:r>
    </w:p>
    <w:p w14:paraId="165ED6CD" w14:textId="77777777" w:rsidR="001620AB" w:rsidRDefault="001620AB" w:rsidP="001620AB">
      <w:pPr>
        <w:ind w:left="360"/>
        <w:jc w:val="both"/>
        <w:rPr>
          <w:b/>
        </w:rPr>
      </w:pPr>
    </w:p>
    <w:p w14:paraId="4F632B39" w14:textId="77777777" w:rsidR="00485E68" w:rsidRPr="006B6E4E" w:rsidRDefault="00485E68" w:rsidP="00485E68">
      <w:pPr>
        <w:pStyle w:val="Nincstrkz"/>
        <w:jc w:val="both"/>
        <w:rPr>
          <w:rFonts w:ascii="Times New Roman" w:hAnsi="Times New Roman" w:cs="Times New Roman"/>
        </w:rPr>
      </w:pPr>
      <w:r w:rsidRPr="00B8392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293350">
        <w:rPr>
          <w:rFonts w:ascii="Times New Roman" w:hAnsi="Times New Roman" w:cs="Times New Roman"/>
          <w:sz w:val="24"/>
          <w:szCs w:val="24"/>
          <w:lang w:val="hu-HU"/>
        </w:rPr>
        <w:t>2024</w:t>
      </w:r>
      <w:r w:rsidRPr="00B83920">
        <w:rPr>
          <w:rFonts w:ascii="Times New Roman" w:hAnsi="Times New Roman" w:cs="Times New Roman"/>
          <w:sz w:val="24"/>
          <w:szCs w:val="24"/>
          <w:lang w:val="hu-HU"/>
        </w:rPr>
        <w:t xml:space="preserve">. év belső ellenőrzési terve </w:t>
      </w:r>
      <w:r w:rsidR="00243752" w:rsidRPr="00B83920">
        <w:rPr>
          <w:rFonts w:ascii="Times New Roman" w:hAnsi="Times New Roman" w:cs="Times New Roman"/>
          <w:sz w:val="24"/>
          <w:szCs w:val="24"/>
        </w:rPr>
        <w:t>202</w:t>
      </w:r>
      <w:r w:rsidR="00682401">
        <w:rPr>
          <w:rFonts w:ascii="Times New Roman" w:hAnsi="Times New Roman" w:cs="Times New Roman"/>
          <w:sz w:val="24"/>
          <w:szCs w:val="24"/>
        </w:rPr>
        <w:t>3</w:t>
      </w:r>
      <w:r w:rsidR="00243752" w:rsidRPr="00B83920">
        <w:rPr>
          <w:rFonts w:ascii="Times New Roman" w:hAnsi="Times New Roman" w:cs="Times New Roman"/>
          <w:sz w:val="24"/>
          <w:szCs w:val="24"/>
        </w:rPr>
        <w:t>. november 1</w:t>
      </w:r>
      <w:r w:rsidR="00682401">
        <w:rPr>
          <w:rFonts w:ascii="Times New Roman" w:hAnsi="Times New Roman" w:cs="Times New Roman"/>
          <w:sz w:val="24"/>
          <w:szCs w:val="24"/>
        </w:rPr>
        <w:t>9</w:t>
      </w:r>
      <w:r w:rsidR="00243752" w:rsidRPr="00B83920">
        <w:rPr>
          <w:rFonts w:ascii="Times New Roman" w:hAnsi="Times New Roman" w:cs="Times New Roman"/>
          <w:sz w:val="24"/>
          <w:szCs w:val="24"/>
        </w:rPr>
        <w:t>-</w:t>
      </w:r>
      <w:r w:rsidR="005F05AC">
        <w:rPr>
          <w:rFonts w:ascii="Times New Roman" w:hAnsi="Times New Roman" w:cs="Times New Roman"/>
          <w:sz w:val="24"/>
          <w:szCs w:val="24"/>
        </w:rPr>
        <w:t>é</w:t>
      </w:r>
      <w:r w:rsidR="00243752" w:rsidRPr="00B83920">
        <w:rPr>
          <w:rFonts w:ascii="Times New Roman" w:hAnsi="Times New Roman" w:cs="Times New Roman"/>
          <w:sz w:val="24"/>
          <w:szCs w:val="24"/>
        </w:rPr>
        <w:t xml:space="preserve">n </w:t>
      </w:r>
      <w:r w:rsidRPr="00B83920">
        <w:rPr>
          <w:rFonts w:ascii="Times New Roman" w:hAnsi="Times New Roman" w:cs="Times New Roman"/>
          <w:sz w:val="24"/>
          <w:szCs w:val="24"/>
          <w:lang w:val="hu-HU"/>
        </w:rPr>
        <w:t>került beterjesztésre a Képviselő-testület elé,</w:t>
      </w:r>
      <w:r w:rsidR="00243752" w:rsidRPr="00B83920">
        <w:rPr>
          <w:rFonts w:ascii="Times New Roman" w:hAnsi="Times New Roman" w:cs="Times New Roman"/>
          <w:sz w:val="24"/>
          <w:szCs w:val="24"/>
          <w:lang w:val="hu-HU"/>
        </w:rPr>
        <w:t xml:space="preserve"> melyet </w:t>
      </w:r>
      <w:r w:rsidR="00B83920" w:rsidRPr="00B8392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Pr="00B8392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82401">
        <w:rPr>
          <w:rFonts w:ascii="Times New Roman" w:hAnsi="Times New Roman" w:cs="Times New Roman"/>
          <w:sz w:val="24"/>
          <w:szCs w:val="24"/>
          <w:lang w:val="hu-HU"/>
        </w:rPr>
        <w:t>142</w:t>
      </w:r>
      <w:r w:rsidRPr="00B83920">
        <w:rPr>
          <w:rFonts w:ascii="Times New Roman" w:hAnsi="Times New Roman" w:cs="Times New Roman"/>
          <w:sz w:val="24"/>
          <w:szCs w:val="24"/>
          <w:lang w:val="hu-HU"/>
        </w:rPr>
        <w:t>/20</w:t>
      </w:r>
      <w:r w:rsidR="00B83920" w:rsidRPr="00B83920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682401">
        <w:rPr>
          <w:rFonts w:ascii="Times New Roman" w:hAnsi="Times New Roman" w:cs="Times New Roman"/>
          <w:sz w:val="24"/>
          <w:szCs w:val="24"/>
          <w:lang w:val="hu-HU"/>
        </w:rPr>
        <w:t>3</w:t>
      </w:r>
      <w:r w:rsidR="005F05AC">
        <w:rPr>
          <w:rFonts w:ascii="Times New Roman" w:hAnsi="Times New Roman" w:cs="Times New Roman"/>
          <w:sz w:val="24"/>
          <w:szCs w:val="24"/>
          <w:lang w:val="hu-HU"/>
        </w:rPr>
        <w:t>.</w:t>
      </w:r>
      <w:r w:rsidRPr="00B83920">
        <w:rPr>
          <w:rFonts w:ascii="Times New Roman" w:hAnsi="Times New Roman" w:cs="Times New Roman"/>
          <w:sz w:val="24"/>
          <w:szCs w:val="24"/>
          <w:lang w:val="hu-HU"/>
        </w:rPr>
        <w:t>(XI.</w:t>
      </w:r>
      <w:r w:rsidR="00B83920" w:rsidRPr="00B83920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682401">
        <w:rPr>
          <w:rFonts w:ascii="Times New Roman" w:hAnsi="Times New Roman" w:cs="Times New Roman"/>
          <w:sz w:val="24"/>
          <w:szCs w:val="24"/>
          <w:lang w:val="hu-HU"/>
        </w:rPr>
        <w:t>9</w:t>
      </w:r>
      <w:r w:rsidRPr="00B83920">
        <w:rPr>
          <w:rFonts w:ascii="Times New Roman" w:hAnsi="Times New Roman" w:cs="Times New Roman"/>
          <w:sz w:val="24"/>
          <w:szCs w:val="24"/>
          <w:lang w:val="hu-HU"/>
        </w:rPr>
        <w:t>.)</w:t>
      </w:r>
      <w:r w:rsidR="00B83920" w:rsidRPr="00B83920">
        <w:rPr>
          <w:rFonts w:ascii="Times New Roman" w:hAnsi="Times New Roman" w:cs="Times New Roman"/>
          <w:sz w:val="24"/>
          <w:szCs w:val="24"/>
          <w:lang w:val="hu-HU"/>
        </w:rPr>
        <w:t xml:space="preserve"> Kt. </w:t>
      </w:r>
      <w:r w:rsidRPr="00B83920">
        <w:rPr>
          <w:rFonts w:ascii="Times New Roman" w:hAnsi="Times New Roman" w:cs="Times New Roman"/>
          <w:sz w:val="24"/>
          <w:szCs w:val="24"/>
          <w:lang w:val="hu-HU"/>
        </w:rPr>
        <w:t>számú határozattal hagyott jóvá.</w:t>
      </w:r>
      <w:r w:rsidR="00A7687D" w:rsidRPr="00B8392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2A7DFEC1" w14:textId="77777777" w:rsidR="00485E68" w:rsidRDefault="00485E68" w:rsidP="006B6E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EA2EBCF" w14:textId="77777777" w:rsidR="007132BB" w:rsidRDefault="007132BB" w:rsidP="00DE23DE">
      <w:pPr>
        <w:jc w:val="both"/>
      </w:pPr>
      <w:r>
        <w:t>Az éves terv biztosította, hogy a költségvetési bevételek és kiadások tervezése, szabályszerű, szabályozott, gazdaságos és hatékony felhasználása, elszámolása, valamint az eszközökkel és forrásokkal való gazdálkodás a belsőellenőrzés tárgyát képezze.</w:t>
      </w:r>
      <w:r w:rsidR="002A22CA">
        <w:t xml:space="preserve"> </w:t>
      </w:r>
    </w:p>
    <w:p w14:paraId="0B3D38CC" w14:textId="77777777" w:rsidR="00416075" w:rsidRPr="00305CFB" w:rsidRDefault="002A22CA" w:rsidP="00305CFB">
      <w:pPr>
        <w:jc w:val="both"/>
      </w:pPr>
      <w:r>
        <w:t>A belső ellenőrzés tevékenységét a jogszabályi előírások és standardok alapján végezte. Az ellenőrzési jelentések összeállítására a kiadott irat- és jelentésminták alapján került sor, tartalmazta a konkrét adatokra épülő megállapításokat és érdemi javaslatokat</w:t>
      </w:r>
      <w:r w:rsidR="0001288D">
        <w:t xml:space="preserve">. </w:t>
      </w:r>
      <w:r w:rsidR="00416075">
        <w:rPr>
          <w:b/>
        </w:rPr>
        <w:br w:type="page"/>
      </w:r>
    </w:p>
    <w:p w14:paraId="46B8A05B" w14:textId="77777777" w:rsidR="00140293" w:rsidRDefault="00140293" w:rsidP="00DE23DE">
      <w:pPr>
        <w:jc w:val="both"/>
        <w:rPr>
          <w:b/>
        </w:rPr>
      </w:pPr>
    </w:p>
    <w:p w14:paraId="33ECB061" w14:textId="77777777" w:rsidR="0001288D" w:rsidRPr="0001288D" w:rsidRDefault="0001288D" w:rsidP="00DE23DE">
      <w:pPr>
        <w:jc w:val="both"/>
        <w:rPr>
          <w:b/>
        </w:rPr>
      </w:pPr>
      <w:r w:rsidRPr="0001288D">
        <w:rPr>
          <w:b/>
        </w:rPr>
        <w:t>1.1.a)</w:t>
      </w:r>
      <w:r>
        <w:rPr>
          <w:b/>
        </w:rPr>
        <w:t xml:space="preserve"> A tárgyévre vonatkozó éves ellenőrzési terv teljesítése, az ellenőrzések összesítése</w:t>
      </w:r>
    </w:p>
    <w:p w14:paraId="1A37539B" w14:textId="77777777" w:rsidR="001A7E37" w:rsidRDefault="001A7E37" w:rsidP="001A7E37">
      <w:pPr>
        <w:jc w:val="both"/>
      </w:pPr>
    </w:p>
    <w:p w14:paraId="578F1708" w14:textId="182B2383" w:rsidR="00C335C5" w:rsidRDefault="005F05AC" w:rsidP="00C85CC9">
      <w:pPr>
        <w:pStyle w:val="Listaszerbekezds"/>
        <w:numPr>
          <w:ilvl w:val="0"/>
          <w:numId w:val="20"/>
        </w:numPr>
        <w:jc w:val="both"/>
      </w:pPr>
      <w:r w:rsidRPr="00C85CC9">
        <w:rPr>
          <w:b/>
        </w:rPr>
        <w:t>Szabályszerűségi és p</w:t>
      </w:r>
      <w:r w:rsidR="00FC5893" w:rsidRPr="00C85CC9">
        <w:rPr>
          <w:b/>
        </w:rPr>
        <w:t>énzügyi</w:t>
      </w:r>
      <w:r w:rsidR="00C335C5" w:rsidRPr="00C85CC9">
        <w:rPr>
          <w:b/>
        </w:rPr>
        <w:t xml:space="preserve"> jellegű </w:t>
      </w:r>
      <w:r w:rsidR="00FC5893" w:rsidRPr="00C85CC9">
        <w:rPr>
          <w:b/>
        </w:rPr>
        <w:t>ellenőrzésre</w:t>
      </w:r>
      <w:r w:rsidR="00C335C5">
        <w:t xml:space="preserve"> az éves tervnek megfelelően a </w:t>
      </w:r>
      <w:r w:rsidR="00FC5893">
        <w:t>Gondozási Központ</w:t>
      </w:r>
      <w:r w:rsidR="001A049D">
        <w:t>nál</w:t>
      </w:r>
      <w:r w:rsidR="00FC5893">
        <w:t xml:space="preserve"> és a</w:t>
      </w:r>
      <w:r w:rsidR="009C3ED3">
        <w:t xml:space="preserve"> </w:t>
      </w:r>
      <w:r w:rsidR="009C3ED3" w:rsidRPr="00FB65AC">
        <w:t>Manóliget Óvoda és Mini Bölcsődénél</w:t>
      </w:r>
      <w:r w:rsidR="00FC5893">
        <w:t xml:space="preserve"> </w:t>
      </w:r>
      <w:r w:rsidR="00707632">
        <w:t>került sor.</w:t>
      </w:r>
    </w:p>
    <w:p w14:paraId="277370D0" w14:textId="77777777" w:rsidR="00DC4AC5" w:rsidRDefault="00DC4AC5" w:rsidP="001A7E37">
      <w:pPr>
        <w:jc w:val="both"/>
      </w:pPr>
    </w:p>
    <w:p w14:paraId="12BBAC6A" w14:textId="77777777" w:rsidR="00682401" w:rsidRDefault="00707632" w:rsidP="00682401">
      <w:pPr>
        <w:jc w:val="both"/>
        <w:rPr>
          <w:i/>
        </w:rPr>
      </w:pPr>
      <w:r>
        <w:t>A</w:t>
      </w:r>
      <w:r w:rsidRPr="00707632">
        <w:t xml:space="preserve">z </w:t>
      </w:r>
      <w:r w:rsidRPr="001F5E2C">
        <w:rPr>
          <w:i/>
        </w:rPr>
        <w:t>ellenőrzés célja</w:t>
      </w:r>
      <w:r w:rsidR="000972EE">
        <w:rPr>
          <w:b/>
          <w:smallCaps/>
        </w:rPr>
        <w:t xml:space="preserve">: </w:t>
      </w:r>
      <w:r w:rsidR="00682401" w:rsidRPr="00682401">
        <w:t>A helyi önkormányzatok oktatási és szociális feladatainak ellátásához nyújtott támogatások felhasználása és elszámolása</w:t>
      </w:r>
      <w:r w:rsidR="00682401" w:rsidRPr="000972EE">
        <w:rPr>
          <w:i/>
        </w:rPr>
        <w:t xml:space="preserve"> </w:t>
      </w:r>
    </w:p>
    <w:p w14:paraId="44D2119C" w14:textId="77777777" w:rsidR="00682401" w:rsidRDefault="00682401" w:rsidP="00682401">
      <w:pPr>
        <w:jc w:val="both"/>
        <w:rPr>
          <w:i/>
        </w:rPr>
      </w:pPr>
    </w:p>
    <w:p w14:paraId="49FA62DD" w14:textId="77777777" w:rsidR="000972EE" w:rsidRPr="000972EE" w:rsidRDefault="0096074B" w:rsidP="00682401">
      <w:pPr>
        <w:jc w:val="both"/>
      </w:pPr>
      <w:r w:rsidRPr="000972EE">
        <w:rPr>
          <w:i/>
        </w:rPr>
        <w:t>Alkalmazott ellenőrzési módszerek és eljárások</w:t>
      </w:r>
      <w:r w:rsidRPr="000972EE">
        <w:t xml:space="preserve">: </w:t>
      </w:r>
      <w:r w:rsidR="000972EE" w:rsidRPr="000972EE">
        <w:t>dokumentumok és számviteli nyilvántartások vizsgálata</w:t>
      </w:r>
    </w:p>
    <w:p w14:paraId="25AFA648" w14:textId="77777777" w:rsidR="00305CFB" w:rsidRDefault="00305CFB" w:rsidP="0096074B">
      <w:pPr>
        <w:tabs>
          <w:tab w:val="left" w:pos="3240"/>
        </w:tabs>
        <w:jc w:val="both"/>
        <w:rPr>
          <w:bCs/>
          <w:noProof/>
        </w:rPr>
      </w:pPr>
    </w:p>
    <w:p w14:paraId="5E8AE482" w14:textId="77777777" w:rsidR="0096074B" w:rsidRDefault="0096074B" w:rsidP="0096074B">
      <w:pPr>
        <w:jc w:val="both"/>
      </w:pPr>
      <w:r>
        <w:t>Az ellenőrzés alapján az alábbi főbb megállapítások emelhetők ki:</w:t>
      </w:r>
    </w:p>
    <w:p w14:paraId="116D2C97" w14:textId="77777777" w:rsidR="00AE0D8F" w:rsidRDefault="00AE0D8F" w:rsidP="0096074B">
      <w:pPr>
        <w:jc w:val="both"/>
      </w:pPr>
      <w:r>
        <w:t>Összességében megállapítottam, hogy a költségvetési szervek szakmai feladataikat megfelelő színvonalon látták el. A nyilvántartások pontosak, áttekinthetők és egyértelműek voltak</w:t>
      </w:r>
      <w:r w:rsidR="00077286">
        <w:t>.</w:t>
      </w:r>
      <w:r w:rsidR="00F86958">
        <w:t xml:space="preserve"> A központi támogatásigényléshez és elszámoláshoz nyújtott adatok megegyeztek a statisztika és a szolgáltatói nyilvántartások adataival.</w:t>
      </w:r>
    </w:p>
    <w:p w14:paraId="24545CC5" w14:textId="77777777" w:rsidR="00AE0D8F" w:rsidRDefault="00AE0D8F" w:rsidP="0096074B">
      <w:pPr>
        <w:jc w:val="both"/>
      </w:pPr>
    </w:p>
    <w:p w14:paraId="5377C915" w14:textId="77777777" w:rsidR="00AE0D8F" w:rsidRPr="00D12D5A" w:rsidRDefault="00AE0D8F" w:rsidP="0096074B">
      <w:pPr>
        <w:jc w:val="both"/>
      </w:pPr>
      <w:r>
        <w:t>A takarékos gazdálkodás viszont jelentős visszafizetési kötelezettséget teremtett az önkormányzat terhére</w:t>
      </w:r>
      <w:r w:rsidR="00105724">
        <w:t>, amely a 2024. évi gazdasági évet terhelte</w:t>
      </w:r>
      <w:r>
        <w:t>.</w:t>
      </w:r>
    </w:p>
    <w:p w14:paraId="356A0A77" w14:textId="77777777" w:rsidR="00EC5904" w:rsidRDefault="00EC5904" w:rsidP="00EC5904">
      <w:pPr>
        <w:jc w:val="both"/>
        <w:rPr>
          <w:b/>
        </w:rPr>
      </w:pPr>
    </w:p>
    <w:p w14:paraId="402036EB" w14:textId="77777777" w:rsidR="00105724" w:rsidRDefault="00105724" w:rsidP="00EC5904">
      <w:pPr>
        <w:jc w:val="both"/>
      </w:pPr>
      <w:r w:rsidRPr="00105724">
        <w:t>A visszafizetési kötelezettség az alábbiak szerint alakult:</w:t>
      </w:r>
    </w:p>
    <w:p w14:paraId="2EE7BE59" w14:textId="77777777" w:rsidR="00105724" w:rsidRPr="00105724" w:rsidRDefault="00105724" w:rsidP="00EC5904">
      <w:pPr>
        <w:jc w:val="both"/>
      </w:pPr>
    </w:p>
    <w:p w14:paraId="0B7E222B" w14:textId="77777777" w:rsidR="00AE0D8F" w:rsidRDefault="00F30634" w:rsidP="00AE0D8F">
      <w:pPr>
        <w:jc w:val="both"/>
        <w:rPr>
          <w:color w:val="000000"/>
        </w:rPr>
      </w:pPr>
      <w:r>
        <w:t xml:space="preserve">Gádoros Nagyközség önkormányzatának </w:t>
      </w:r>
      <w:r w:rsidR="00105724" w:rsidRPr="00F86958">
        <w:rPr>
          <w:b/>
        </w:rPr>
        <w:t>óvodai nevelés</w:t>
      </w:r>
      <w:r w:rsidR="00105724">
        <w:t xml:space="preserve">re </w:t>
      </w:r>
      <w:r>
        <w:t xml:space="preserve">az oktatási statisztikák és a felvételi naplók adatai alapján </w:t>
      </w:r>
      <w:r w:rsidRPr="00F30634">
        <w:rPr>
          <w:bCs/>
          <w:color w:val="000000"/>
        </w:rPr>
        <w:t>94 153 100 Ft</w:t>
      </w:r>
      <w:r>
        <w:rPr>
          <w:b/>
          <w:bCs/>
          <w:color w:val="000000"/>
        </w:rPr>
        <w:t xml:space="preserve"> </w:t>
      </w:r>
      <w:r>
        <w:t>közoktatási támogatás és 19 267 923 Ft k</w:t>
      </w:r>
      <w:r w:rsidRPr="00F30634">
        <w:rPr>
          <w:color w:val="000000"/>
        </w:rPr>
        <w:t>iegészítő támogatások</w:t>
      </w:r>
      <w:r>
        <w:rPr>
          <w:color w:val="000000"/>
        </w:rPr>
        <w:t xml:space="preserve"> </w:t>
      </w:r>
      <w:r>
        <w:t>került kiutalásra 2023. évre vonatkozóan,</w:t>
      </w:r>
      <w:r w:rsidR="00AE0D8F">
        <w:t xml:space="preserve"> ez összesen 113 421 023 Ft volt. A tényleges kiadás ezzel szemben </w:t>
      </w:r>
      <w:r w:rsidR="00AE0D8F" w:rsidRPr="00AE0D8F">
        <w:rPr>
          <w:rFonts w:ascii="Calibri" w:hAnsi="Calibri" w:cs="Calibri"/>
          <w:color w:val="000000"/>
        </w:rPr>
        <w:t>98 132</w:t>
      </w:r>
      <w:r w:rsidR="00AE0D8F">
        <w:rPr>
          <w:rFonts w:ascii="Calibri" w:hAnsi="Calibri" w:cs="Calibri"/>
          <w:color w:val="000000"/>
        </w:rPr>
        <w:t> </w:t>
      </w:r>
      <w:r w:rsidR="00AE0D8F" w:rsidRPr="00AE0D8F">
        <w:rPr>
          <w:rFonts w:ascii="Calibri" w:hAnsi="Calibri" w:cs="Calibri"/>
          <w:color w:val="000000"/>
        </w:rPr>
        <w:t>462</w:t>
      </w:r>
      <w:r w:rsidR="00AE0D8F">
        <w:rPr>
          <w:rFonts w:ascii="Calibri" w:hAnsi="Calibri" w:cs="Calibri"/>
          <w:color w:val="000000"/>
        </w:rPr>
        <w:t xml:space="preserve"> Ft volt, visszafizetési kötelezettség a </w:t>
      </w:r>
      <w:r w:rsidR="00AE0D8F">
        <w:t>tá</w:t>
      </w:r>
      <w:r w:rsidR="00AE0D8F" w:rsidRPr="00524E3D">
        <w:t xml:space="preserve">mogatási bevétel </w:t>
      </w:r>
      <w:r w:rsidR="00AE0D8F" w:rsidRPr="00524E3D">
        <w:rPr>
          <w:bCs/>
          <w:color w:val="000000"/>
        </w:rPr>
        <w:t xml:space="preserve">és a teljesített kiadás </w:t>
      </w:r>
      <w:r w:rsidR="00AE0D8F" w:rsidRPr="00524E3D">
        <w:rPr>
          <w:color w:val="000000"/>
        </w:rPr>
        <w:t>különbsége</w:t>
      </w:r>
      <w:r w:rsidR="00AE0D8F">
        <w:rPr>
          <w:color w:val="000000"/>
        </w:rPr>
        <w:t xml:space="preserve"> </w:t>
      </w:r>
      <w:r w:rsidR="00AE0D8F" w:rsidRPr="00AE0D8F">
        <w:rPr>
          <w:color w:val="000000"/>
        </w:rPr>
        <w:t>15 288 561 Ft</w:t>
      </w:r>
      <w:r w:rsidR="00AE0D8F">
        <w:rPr>
          <w:color w:val="000000"/>
        </w:rPr>
        <w:t xml:space="preserve"> volt</w:t>
      </w:r>
      <w:r w:rsidR="00AE0D8F" w:rsidRPr="00AE0D8F">
        <w:rPr>
          <w:color w:val="000000"/>
        </w:rPr>
        <w:t xml:space="preserve">. </w:t>
      </w:r>
    </w:p>
    <w:p w14:paraId="00F18A31" w14:textId="77777777" w:rsidR="00ED44B4" w:rsidRPr="00ED44B4" w:rsidRDefault="00ED44B4" w:rsidP="00ED44B4">
      <w:pPr>
        <w:jc w:val="both"/>
        <w:rPr>
          <w:color w:val="000000"/>
        </w:rPr>
      </w:pPr>
      <w:r w:rsidRPr="00524E3D">
        <w:rPr>
          <w:color w:val="000000"/>
        </w:rPr>
        <w:t>Az óvodai működési támogatás felhasználható</w:t>
      </w:r>
      <w:r>
        <w:rPr>
          <w:color w:val="000000"/>
        </w:rPr>
        <w:t xml:space="preserve"> volt a 2023. évi </w:t>
      </w:r>
      <w:r w:rsidRPr="00524E3D">
        <w:rPr>
          <w:color w:val="000000"/>
        </w:rPr>
        <w:t xml:space="preserve">gyermekétkeztetés többlet kiadására, </w:t>
      </w:r>
      <w:r>
        <w:rPr>
          <w:color w:val="000000"/>
        </w:rPr>
        <w:t>amely</w:t>
      </w:r>
      <w:r w:rsidRPr="00524E3D">
        <w:rPr>
          <w:color w:val="000000"/>
        </w:rPr>
        <w:t xml:space="preserve"> </w:t>
      </w:r>
      <w:r w:rsidRPr="00ED44B4">
        <w:rPr>
          <w:color w:val="000000"/>
        </w:rPr>
        <w:t>1 596 708 Ft, ezzel az összeggel csökkenthető</w:t>
      </w:r>
      <w:r w:rsidR="00077286">
        <w:rPr>
          <w:color w:val="000000"/>
        </w:rPr>
        <w:t xml:space="preserve"> volt</w:t>
      </w:r>
      <w:r w:rsidRPr="00ED44B4">
        <w:rPr>
          <w:color w:val="000000"/>
        </w:rPr>
        <w:t xml:space="preserve"> a visszafizetési kötelezettség (15 288 561 - 1 596 708),</w:t>
      </w:r>
      <w:r w:rsidRPr="00524E3D">
        <w:rPr>
          <w:b/>
          <w:color w:val="000000"/>
        </w:rPr>
        <w:t xml:space="preserve"> </w:t>
      </w:r>
      <w:r w:rsidRPr="00524E3D">
        <w:rPr>
          <w:color w:val="000000"/>
        </w:rPr>
        <w:t xml:space="preserve">így az óvodai működési és kiegészítő támogatás visszafizetési kötelezettsége </w:t>
      </w:r>
      <w:r w:rsidRPr="00524E3D">
        <w:rPr>
          <w:b/>
          <w:color w:val="000000"/>
        </w:rPr>
        <w:t>13 691 853 Ft</w:t>
      </w:r>
      <w:r w:rsidRPr="00ED44B4">
        <w:rPr>
          <w:color w:val="000000"/>
        </w:rPr>
        <w:t>.</w:t>
      </w:r>
    </w:p>
    <w:p w14:paraId="4D4F209D" w14:textId="77777777" w:rsidR="00C34BA8" w:rsidRPr="00AE0D8F" w:rsidRDefault="00C34BA8" w:rsidP="00AE0D8F">
      <w:pPr>
        <w:jc w:val="both"/>
        <w:rPr>
          <w:color w:val="000000"/>
        </w:rPr>
      </w:pPr>
    </w:p>
    <w:p w14:paraId="6FA30452" w14:textId="77777777" w:rsidR="00AE0D8F" w:rsidRPr="00AE0D8F" w:rsidRDefault="00AE0D8F" w:rsidP="00AE0D8F">
      <w:pPr>
        <w:jc w:val="both"/>
        <w:rPr>
          <w:color w:val="000000"/>
        </w:rPr>
      </w:pPr>
      <w:r w:rsidRPr="00AE0D8F">
        <w:rPr>
          <w:color w:val="000000"/>
        </w:rPr>
        <w:t>A visszafizetési kötelezettség abból adódott, hogy az óvoda pedagógusok foglalkoztatási száma 2023 évben 9 fő volt, ezzel szemben a beírt gyermek száma (figyelembe véve a sajátos nevelési igényű gyermekeket) alapján a bértámogatás 10,7 főre illette volna meg az önkormányzatot. A be nem töltött álláshelyekre jutó bér és járulékai a beszámolás során elvonásra került.</w:t>
      </w:r>
    </w:p>
    <w:p w14:paraId="5BE9A88F" w14:textId="77777777" w:rsidR="00AE0D8F" w:rsidRPr="00EF2E05" w:rsidRDefault="00AE0D8F" w:rsidP="00AE0D8F">
      <w:pPr>
        <w:jc w:val="both"/>
        <w:rPr>
          <w:rFonts w:ascii="Calibri" w:hAnsi="Calibri" w:cs="Calibri"/>
          <w:b/>
          <w:color w:val="000000"/>
        </w:rPr>
      </w:pPr>
    </w:p>
    <w:p w14:paraId="2DF47002" w14:textId="77777777" w:rsidR="00C32883" w:rsidRDefault="00F86958" w:rsidP="00ED44B4">
      <w:pPr>
        <w:jc w:val="both"/>
        <w:rPr>
          <w:rFonts w:ascii="Calibri" w:hAnsi="Calibri" w:cs="Calibri"/>
          <w:bCs/>
          <w:color w:val="000000"/>
        </w:rPr>
      </w:pPr>
      <w:r w:rsidRPr="0089776E">
        <w:rPr>
          <w:b/>
          <w:color w:val="000000"/>
        </w:rPr>
        <w:t>Gondozási Központ bentlakás</w:t>
      </w:r>
      <w:r>
        <w:rPr>
          <w:b/>
          <w:color w:val="000000"/>
        </w:rPr>
        <w:t>:</w:t>
      </w:r>
      <w:r w:rsidR="00C34BA8">
        <w:rPr>
          <w:b/>
          <w:color w:val="000000"/>
        </w:rPr>
        <w:t xml:space="preserve"> </w:t>
      </w:r>
      <w:r w:rsidR="00C32883">
        <w:t xml:space="preserve">A költségvetési törvény 2. mellékletének </w:t>
      </w:r>
      <w:r w:rsidR="00C32883" w:rsidRPr="00566C48">
        <w:t>46. 1.3.4.2.</w:t>
      </w:r>
      <w:r w:rsidR="00C32883">
        <w:t xml:space="preserve"> pontja részletesen tartalmazza </w:t>
      </w:r>
      <w:r w:rsidR="00C32883" w:rsidRPr="00566C48">
        <w:t>Intézményüzemeltetési t</w:t>
      </w:r>
      <w:r w:rsidR="00C32883">
        <w:t xml:space="preserve">ámogatás folyósítását. Lényege, hogy a támogatás összege nem lehet több mint a tényleges </w:t>
      </w:r>
      <w:r w:rsidR="00C32883" w:rsidRPr="00040D4F">
        <w:t>kiadás összege csökkentve a saját bevétel (térítési díj és Áfa bevétel) összegé</w:t>
      </w:r>
      <w:r w:rsidR="00C32883">
        <w:t xml:space="preserve">vel.  Központi támogatás </w:t>
      </w:r>
      <w:r w:rsidR="00C32883" w:rsidRPr="00C32883">
        <w:rPr>
          <w:rFonts w:ascii="Calibri" w:hAnsi="Calibri" w:cs="Calibri"/>
          <w:bCs/>
          <w:color w:val="000000"/>
        </w:rPr>
        <w:t>99 145</w:t>
      </w:r>
      <w:r w:rsidR="00C32883">
        <w:rPr>
          <w:rFonts w:ascii="Calibri" w:hAnsi="Calibri" w:cs="Calibri"/>
          <w:bCs/>
          <w:color w:val="000000"/>
        </w:rPr>
        <w:t> </w:t>
      </w:r>
      <w:r w:rsidR="00C32883" w:rsidRPr="00C32883">
        <w:rPr>
          <w:rFonts w:ascii="Calibri" w:hAnsi="Calibri" w:cs="Calibri"/>
          <w:bCs/>
          <w:color w:val="000000"/>
        </w:rPr>
        <w:t>136</w:t>
      </w:r>
      <w:r w:rsidR="00C32883">
        <w:rPr>
          <w:rFonts w:ascii="Calibri" w:hAnsi="Calibri" w:cs="Calibri"/>
          <w:bCs/>
          <w:color w:val="000000"/>
        </w:rPr>
        <w:t xml:space="preserve"> Ft + saját bevétel </w:t>
      </w:r>
      <w:r w:rsidR="00C34BA8">
        <w:rPr>
          <w:rFonts w:ascii="Calibri" w:hAnsi="Calibri" w:cs="Calibri"/>
          <w:bCs/>
          <w:color w:val="000000"/>
        </w:rPr>
        <w:t xml:space="preserve">43 439 825 Ft, összesen bevétel 142 584 961 Ft, ezzel szemben a kiadás fő összege 125 293 809 Ft volt, a különbözet </w:t>
      </w:r>
      <w:r w:rsidR="00C34BA8" w:rsidRPr="00077286">
        <w:rPr>
          <w:rFonts w:ascii="Calibri" w:hAnsi="Calibri" w:cs="Calibri"/>
          <w:b/>
          <w:bCs/>
          <w:color w:val="000000"/>
        </w:rPr>
        <w:t>17 291 152 Ft</w:t>
      </w:r>
      <w:r w:rsidR="00C34BA8">
        <w:rPr>
          <w:rFonts w:ascii="Calibri" w:hAnsi="Calibri" w:cs="Calibri"/>
          <w:bCs/>
          <w:color w:val="000000"/>
        </w:rPr>
        <w:t xml:space="preserve">, mely elvonásra került. </w:t>
      </w:r>
    </w:p>
    <w:p w14:paraId="1579D273" w14:textId="77777777" w:rsidR="00ED44B4" w:rsidRPr="00DF5C2E" w:rsidRDefault="00ED44B4" w:rsidP="00ED44B4">
      <w:pPr>
        <w:pStyle w:val="Cmsor5"/>
        <w:jc w:val="both"/>
        <w:rPr>
          <w:b w:val="0"/>
          <w:sz w:val="24"/>
          <w:szCs w:val="24"/>
        </w:rPr>
      </w:pPr>
      <w:r w:rsidRPr="00AD4037">
        <w:rPr>
          <w:b w:val="0"/>
          <w:sz w:val="24"/>
          <w:szCs w:val="24"/>
        </w:rPr>
        <w:t>A helyi önkormányzatok általános működésének és ágazati feladatainak ellátásához járó támogatás jogosulatlan igénybevételéhez kamatfizetési kötelezettség</w:t>
      </w:r>
      <w:r>
        <w:rPr>
          <w:b w:val="0"/>
          <w:sz w:val="24"/>
          <w:szCs w:val="24"/>
        </w:rPr>
        <w:t xml:space="preserve"> kapcsolódik, mely kiszámolásának módját a költségvetési törvény 43. </w:t>
      </w:r>
      <w:proofErr w:type="gramStart"/>
      <w:r>
        <w:rPr>
          <w:b w:val="0"/>
          <w:sz w:val="24"/>
          <w:szCs w:val="24"/>
        </w:rPr>
        <w:t>§.(</w:t>
      </w:r>
      <w:proofErr w:type="gramEnd"/>
      <w:r>
        <w:rPr>
          <w:b w:val="0"/>
          <w:sz w:val="24"/>
          <w:szCs w:val="24"/>
        </w:rPr>
        <w:t xml:space="preserve">3) bekezdése tartalmazta. Mértéke az </w:t>
      </w:r>
      <w:proofErr w:type="spellStart"/>
      <w:r>
        <w:rPr>
          <w:b w:val="0"/>
          <w:sz w:val="24"/>
          <w:szCs w:val="24"/>
        </w:rPr>
        <w:t>Ávr</w:t>
      </w:r>
      <w:proofErr w:type="spellEnd"/>
      <w:r>
        <w:rPr>
          <w:b w:val="0"/>
          <w:sz w:val="24"/>
          <w:szCs w:val="24"/>
        </w:rPr>
        <w:t xml:space="preserve">. 112. §. 1. </w:t>
      </w:r>
      <w:proofErr w:type="spellStart"/>
      <w:r>
        <w:rPr>
          <w:b w:val="0"/>
          <w:sz w:val="24"/>
          <w:szCs w:val="24"/>
        </w:rPr>
        <w:t>bek</w:t>
      </w:r>
      <w:proofErr w:type="spellEnd"/>
      <w:r>
        <w:rPr>
          <w:b w:val="0"/>
          <w:sz w:val="24"/>
          <w:szCs w:val="24"/>
        </w:rPr>
        <w:t xml:space="preserve">. c.) pontja szerint </w:t>
      </w:r>
      <w:r w:rsidRPr="0029365C">
        <w:rPr>
          <w:sz w:val="24"/>
          <w:szCs w:val="24"/>
        </w:rPr>
        <w:t>a jegybanki alapkamat kétszerese</w:t>
      </w:r>
      <w:r>
        <w:rPr>
          <w:sz w:val="24"/>
          <w:szCs w:val="24"/>
        </w:rPr>
        <w:t xml:space="preserve">, </w:t>
      </w:r>
      <w:r w:rsidRPr="00DF5C2E">
        <w:rPr>
          <w:b w:val="0"/>
          <w:sz w:val="24"/>
          <w:szCs w:val="24"/>
        </w:rPr>
        <w:t xml:space="preserve">megállapított kamat </w:t>
      </w:r>
      <w:r w:rsidRPr="00077286">
        <w:rPr>
          <w:sz w:val="24"/>
          <w:szCs w:val="24"/>
        </w:rPr>
        <w:t>5 344 003</w:t>
      </w:r>
      <w:r w:rsidRPr="00DF5C2E">
        <w:rPr>
          <w:b w:val="0"/>
          <w:sz w:val="24"/>
          <w:szCs w:val="24"/>
        </w:rPr>
        <w:t xml:space="preserve"> Ft.</w:t>
      </w:r>
      <w:r w:rsidR="00077286">
        <w:rPr>
          <w:b w:val="0"/>
          <w:sz w:val="24"/>
          <w:szCs w:val="24"/>
        </w:rPr>
        <w:t xml:space="preserve"> A kamat méltányosságból sem engedhető el.</w:t>
      </w:r>
    </w:p>
    <w:p w14:paraId="7D8B3175" w14:textId="77777777" w:rsidR="00ED44B4" w:rsidRPr="0089776E" w:rsidRDefault="00ED44B4" w:rsidP="00ED44B4">
      <w:pPr>
        <w:jc w:val="both"/>
        <w:rPr>
          <w:rFonts w:ascii="Calibri" w:hAnsi="Calibri" w:cs="Calibri"/>
          <w:b/>
          <w:bCs/>
          <w:color w:val="000000"/>
        </w:rPr>
      </w:pPr>
    </w:p>
    <w:p w14:paraId="5FF551BC" w14:textId="77777777" w:rsidR="000972EE" w:rsidRDefault="000972EE" w:rsidP="00ED44B4">
      <w:pPr>
        <w:jc w:val="both"/>
        <w:rPr>
          <w:b/>
        </w:rPr>
      </w:pPr>
    </w:p>
    <w:p w14:paraId="614D796E" w14:textId="77777777" w:rsidR="000972EE" w:rsidRDefault="000972EE" w:rsidP="000972EE">
      <w:pPr>
        <w:jc w:val="both"/>
        <w:rPr>
          <w:b/>
        </w:rPr>
      </w:pPr>
      <w:r>
        <w:rPr>
          <w:b/>
        </w:rPr>
        <w:t xml:space="preserve">Összességében a központi költségvetési támogatás </w:t>
      </w:r>
      <w:r w:rsidR="00F86958">
        <w:rPr>
          <w:b/>
        </w:rPr>
        <w:t>felhaszná</w:t>
      </w:r>
      <w:r>
        <w:rPr>
          <w:b/>
        </w:rPr>
        <w:t>lásával kapcsolatos tevékenységet magas kockázatúnak minősít</w:t>
      </w:r>
      <w:r w:rsidR="00C34BA8">
        <w:rPr>
          <w:b/>
        </w:rPr>
        <w:t>ett</w:t>
      </w:r>
      <w:r>
        <w:rPr>
          <w:b/>
        </w:rPr>
        <w:t>em, mivel az jelentősen befolyásolja az önkormány</w:t>
      </w:r>
      <w:r w:rsidR="00F86958">
        <w:rPr>
          <w:b/>
        </w:rPr>
        <w:t>zat</w:t>
      </w:r>
      <w:r>
        <w:rPr>
          <w:b/>
        </w:rPr>
        <w:t xml:space="preserve"> gazdasági </w:t>
      </w:r>
      <w:r w:rsidR="00F86958">
        <w:rPr>
          <w:b/>
        </w:rPr>
        <w:t>biztonságát</w:t>
      </w:r>
      <w:r>
        <w:rPr>
          <w:b/>
        </w:rPr>
        <w:t xml:space="preserve">. </w:t>
      </w:r>
    </w:p>
    <w:p w14:paraId="74384C85" w14:textId="77777777" w:rsidR="00EC5904" w:rsidRPr="00B719B5" w:rsidRDefault="00EC5904" w:rsidP="00EC5904">
      <w:pPr>
        <w:jc w:val="both"/>
        <w:rPr>
          <w:b/>
        </w:rPr>
      </w:pPr>
      <w:r w:rsidRPr="00B719B5">
        <w:rPr>
          <w:b/>
        </w:rPr>
        <w:t xml:space="preserve"> </w:t>
      </w:r>
    </w:p>
    <w:p w14:paraId="2EDC892C" w14:textId="77777777" w:rsidR="00140293" w:rsidRDefault="00C22FCE" w:rsidP="00C85CC9">
      <w:pPr>
        <w:pStyle w:val="Listaszerbekezds"/>
        <w:numPr>
          <w:ilvl w:val="0"/>
          <w:numId w:val="20"/>
        </w:numPr>
        <w:jc w:val="both"/>
      </w:pPr>
      <w:r w:rsidRPr="00C85CC9">
        <w:rPr>
          <w:b/>
        </w:rPr>
        <w:t>Pénzügyi ellenőrzésre</w:t>
      </w:r>
      <w:r>
        <w:t xml:space="preserve"> a Roma Nemzetiségi Önkormányzatnál került sor, melynek keretében a 202</w:t>
      </w:r>
      <w:r w:rsidR="00F86958">
        <w:t>3</w:t>
      </w:r>
      <w:r>
        <w:t xml:space="preserve">. II. félévi és a </w:t>
      </w:r>
      <w:r w:rsidR="00293350">
        <w:t>2024</w:t>
      </w:r>
      <w:r>
        <w:t xml:space="preserve">. </w:t>
      </w:r>
      <w:proofErr w:type="gramStart"/>
      <w:r>
        <w:t>I.félévi</w:t>
      </w:r>
      <w:proofErr w:type="gramEnd"/>
      <w:r>
        <w:t xml:space="preserve"> gazdálkodás bizonylatait ellenőriztem terv szerint.</w:t>
      </w:r>
    </w:p>
    <w:p w14:paraId="5D872464" w14:textId="77777777" w:rsidR="00C22FCE" w:rsidRDefault="00C22FCE" w:rsidP="00C22FCE"/>
    <w:p w14:paraId="248BEE24" w14:textId="77777777" w:rsidR="00C22FCE" w:rsidRPr="00C22FCE" w:rsidRDefault="00C22FCE" w:rsidP="00C22FCE">
      <w:pPr>
        <w:jc w:val="both"/>
      </w:pPr>
      <w:r w:rsidRPr="00C22FCE">
        <w:rPr>
          <w:i/>
        </w:rPr>
        <w:t>Ellenőrzés célja:</w:t>
      </w:r>
      <w:r w:rsidR="00ED44B4">
        <w:t xml:space="preserve"> az</w:t>
      </w:r>
      <w:r w:rsidRPr="00C22FCE">
        <w:t xml:space="preserve"> elszámolásokat a jogszabályi előírásoknak és a saját szabályzatokban foglaltaknak megfelelően vezették-e?</w:t>
      </w:r>
      <w:r>
        <w:t xml:space="preserve"> </w:t>
      </w:r>
      <w:r w:rsidR="00077286">
        <w:t>Az e</w:t>
      </w:r>
      <w:r>
        <w:t>lőző ellenőrzés megállapításait, javaslatait alkalmazták-e</w:t>
      </w:r>
      <w:r w:rsidR="00077286">
        <w:t>?</w:t>
      </w:r>
    </w:p>
    <w:p w14:paraId="273B9E71" w14:textId="77777777" w:rsidR="00C22FCE" w:rsidRDefault="00C22FCE" w:rsidP="00C22FCE">
      <w:pPr>
        <w:jc w:val="both"/>
      </w:pPr>
    </w:p>
    <w:p w14:paraId="353A13D7" w14:textId="77777777" w:rsidR="00C22FCE" w:rsidRPr="00D12D5A" w:rsidRDefault="00C22FCE" w:rsidP="00C22FCE">
      <w:pPr>
        <w:jc w:val="both"/>
      </w:pPr>
      <w:r>
        <w:t>Az ellenőrzés alapján az alábbi főbb megállapítások emelhetők ki:</w:t>
      </w:r>
    </w:p>
    <w:p w14:paraId="10180131" w14:textId="77777777" w:rsidR="00C22FCE" w:rsidRDefault="00C22FCE" w:rsidP="00C04E98">
      <w:pPr>
        <w:jc w:val="both"/>
      </w:pPr>
    </w:p>
    <w:p w14:paraId="03F25F5D" w14:textId="77777777" w:rsidR="00DF5C2E" w:rsidRDefault="00DF5C2E" w:rsidP="00DF5C2E">
      <w:pPr>
        <w:jc w:val="both"/>
      </w:pPr>
      <w:r>
        <w:t>Gádoros Nagyközség</w:t>
      </w:r>
      <w:r w:rsidRPr="00C30EC4">
        <w:t xml:space="preserve"> Önkormányzat</w:t>
      </w:r>
      <w:r>
        <w:t xml:space="preserve">a és a Gádoros Roma Nemzetiségi </w:t>
      </w:r>
      <w:r w:rsidRPr="00C30EC4">
        <w:t>Önkormányzat</w:t>
      </w:r>
      <w:r>
        <w:t xml:space="preserve"> között létrejött együttműködési megállapodás 2024. január 31. napjától hatályos. Gádoros Nagyközség</w:t>
      </w:r>
      <w:r w:rsidRPr="00C30EC4">
        <w:t xml:space="preserve"> Önkormányzat</w:t>
      </w:r>
      <w:r>
        <w:t xml:space="preserve"> képviselő-testülete a 15/2024.(I.23.) Kt. számú határozattal, a Roma Nemzetiségi </w:t>
      </w:r>
      <w:r w:rsidRPr="00C30EC4">
        <w:t>Önkormányzat</w:t>
      </w:r>
      <w:r>
        <w:t xml:space="preserve"> 1/2024.(I.31) RNÖ határozattal elfogadta.</w:t>
      </w:r>
    </w:p>
    <w:p w14:paraId="04412CDC" w14:textId="77777777" w:rsidR="00DF5C2E" w:rsidRDefault="00DF5C2E" w:rsidP="00DF5C2E">
      <w:pPr>
        <w:jc w:val="both"/>
      </w:pPr>
    </w:p>
    <w:p w14:paraId="53629EA1" w14:textId="77777777" w:rsidR="00DF5C2E" w:rsidRDefault="00DF5C2E" w:rsidP="00DF5C2E">
      <w:pPr>
        <w:jc w:val="both"/>
      </w:pPr>
      <w:r>
        <w:t>Az utalvány rendeletek nem tartalmaz</w:t>
      </w:r>
      <w:r w:rsidR="00077286">
        <w:t>t</w:t>
      </w:r>
      <w:r>
        <w:t>ák</w:t>
      </w:r>
      <w:r w:rsidRPr="0008049B">
        <w:t xml:space="preserve"> </w:t>
      </w:r>
      <w:proofErr w:type="gramStart"/>
      <w:r>
        <w:t>teljes körűen</w:t>
      </w:r>
      <w:proofErr w:type="gramEnd"/>
      <w:r>
        <w:t xml:space="preserve"> (utalványozás hiánya) a szükséges aláírásokat a Roma Önkormányzat részéről. </w:t>
      </w:r>
    </w:p>
    <w:p w14:paraId="096C74DC" w14:textId="77777777" w:rsidR="00DF5C2E" w:rsidRDefault="00DF5C2E" w:rsidP="00DF5C2E">
      <w:pPr>
        <w:jc w:val="both"/>
      </w:pPr>
    </w:p>
    <w:p w14:paraId="20CBE4C1" w14:textId="77777777" w:rsidR="00DF5C2E" w:rsidRDefault="00DF5C2E" w:rsidP="00DF5C2E">
      <w:pPr>
        <w:tabs>
          <w:tab w:val="left" w:pos="2260"/>
        </w:tabs>
        <w:spacing w:after="120"/>
        <w:jc w:val="both"/>
        <w:outlineLvl w:val="0"/>
      </w:pPr>
      <w:r>
        <w:t>Amennyiben a roma nemzetiségi</w:t>
      </w:r>
      <w:r w:rsidR="00077286">
        <w:t xml:space="preserve"> önkormányzat</w:t>
      </w:r>
      <w:r>
        <w:t xml:space="preserve"> képviselő-testület</w:t>
      </w:r>
      <w:r w:rsidR="00077286">
        <w:t>e a roma nemzetiség tagjainak</w:t>
      </w:r>
      <w:r>
        <w:t xml:space="preserve"> csomag, élelmiszer, beiskolázási támogatásról határozott, csak a felhasználható keretet határozták meg. Szempontokat nem határoztak meg, hogy a támogatás elosztása milyen ismérvek alapján történik</w:t>
      </w:r>
      <w:r w:rsidR="00077286">
        <w:t xml:space="preserve"> (korábban is kifogásoltam)</w:t>
      </w:r>
      <w:r>
        <w:t>.</w:t>
      </w:r>
    </w:p>
    <w:p w14:paraId="491388DE" w14:textId="77777777" w:rsidR="00DF5C2E" w:rsidRDefault="00DF5C2E" w:rsidP="00DF5C2E">
      <w:pPr>
        <w:tabs>
          <w:tab w:val="left" w:pos="2260"/>
        </w:tabs>
        <w:spacing w:after="120"/>
        <w:jc w:val="both"/>
        <w:outlineLvl w:val="0"/>
      </w:pPr>
      <w:r>
        <w:t>Az előző ellenőrzés során kifogásolt átvételi/részvételi aláírások hiánya nem áll fenn.  Csatolták az átvételi elismervény</w:t>
      </w:r>
      <w:r w:rsidR="00077286">
        <w:t>t</w:t>
      </w:r>
      <w:r>
        <w:t>, illetve a rendezvényen résztvevők aláírását tartalmazó listát.</w:t>
      </w:r>
    </w:p>
    <w:p w14:paraId="0D7694CD" w14:textId="77777777" w:rsidR="00DF5C2E" w:rsidRDefault="00DF5C2E" w:rsidP="00DF5C2E">
      <w:pPr>
        <w:tabs>
          <w:tab w:val="left" w:pos="2260"/>
        </w:tabs>
        <w:spacing w:after="120"/>
        <w:jc w:val="both"/>
        <w:outlineLvl w:val="0"/>
      </w:pPr>
      <w:r>
        <w:t>Az éves pénzforgalmat</w:t>
      </w:r>
      <w:r w:rsidR="00077286">
        <w:t xml:space="preserve"> az ellenőrzött időszakban</w:t>
      </w:r>
      <w:r w:rsidR="00651A77">
        <w:t>,</w:t>
      </w:r>
      <w:r>
        <w:t xml:space="preserve"> készpénzben bonyolították, nem vették figyelembe </w:t>
      </w:r>
      <w:r w:rsidR="00077286">
        <w:t>az előző ellenőrzés javaslatát.</w:t>
      </w:r>
    </w:p>
    <w:p w14:paraId="19374262" w14:textId="77777777" w:rsidR="00DF5C2E" w:rsidRDefault="00DF5C2E" w:rsidP="00DF5C2E">
      <w:pPr>
        <w:jc w:val="both"/>
      </w:pPr>
      <w:r>
        <w:t>A 2023 évi zárszámadás és a 2024. évi költségvetés határidőben beterjesztésre került és azt a képviselő-testület elfogadta. 2024. augusztus hónapban is részletes tájékoztatást adott a költségvetés felhasználásáról a Polgármesteri Hivatal pénzügyi csoportja.</w:t>
      </w:r>
    </w:p>
    <w:p w14:paraId="77FA6F22" w14:textId="77777777" w:rsidR="00DF5C2E" w:rsidRDefault="00DF5C2E" w:rsidP="00DF5C2E">
      <w:pPr>
        <w:jc w:val="both"/>
      </w:pPr>
    </w:p>
    <w:p w14:paraId="5D865AC5" w14:textId="77777777" w:rsidR="00C22FCE" w:rsidRDefault="00281136" w:rsidP="00281136">
      <w:pPr>
        <w:jc w:val="both"/>
      </w:pPr>
      <w:r w:rsidRPr="0024319E">
        <w:t xml:space="preserve">A </w:t>
      </w:r>
      <w:r>
        <w:t xml:space="preserve">gazdálkodás bizonylatolása során javulás tapasztalható az előző évi ellenőrzéshez viszonyítva. A magas készpénzforgalom miatt a Roma Önkormányzat gazdálkodását továbbra is </w:t>
      </w:r>
      <w:r w:rsidRPr="006E22AD">
        <w:rPr>
          <w:b/>
        </w:rPr>
        <w:t>magas kockázatúnak</w:t>
      </w:r>
      <w:r>
        <w:t xml:space="preserve"> minősítettem.</w:t>
      </w:r>
    </w:p>
    <w:p w14:paraId="0655154E" w14:textId="77777777" w:rsidR="00281136" w:rsidRPr="004C3097" w:rsidRDefault="00281136" w:rsidP="00281136">
      <w:pPr>
        <w:jc w:val="both"/>
      </w:pPr>
    </w:p>
    <w:p w14:paraId="091F0DBB" w14:textId="77777777" w:rsidR="002A505D" w:rsidRDefault="002A505D" w:rsidP="002A505D">
      <w:pPr>
        <w:jc w:val="both"/>
      </w:pPr>
      <w:r w:rsidRPr="002A505D">
        <w:rPr>
          <w:b/>
        </w:rPr>
        <w:t>1.1.b) Az ellenőrzések során büntető, szabálysértési, kártérítési eljárás megindítására okot adó cselekmény vagy hiányosság</w:t>
      </w:r>
      <w:r>
        <w:t xml:space="preserve"> </w:t>
      </w:r>
    </w:p>
    <w:p w14:paraId="075E81D9" w14:textId="77777777" w:rsidR="002A505D" w:rsidRDefault="002A505D" w:rsidP="002A505D">
      <w:pPr>
        <w:jc w:val="both"/>
      </w:pPr>
    </w:p>
    <w:p w14:paraId="4FA81D2D" w14:textId="77777777" w:rsidR="002A505D" w:rsidRDefault="002A505D" w:rsidP="002A505D">
      <w:pPr>
        <w:jc w:val="both"/>
      </w:pPr>
      <w:r>
        <w:t xml:space="preserve">A </w:t>
      </w:r>
      <w:r w:rsidR="00293350">
        <w:t>2024</w:t>
      </w:r>
      <w:r w:rsidR="00963C97">
        <w:t xml:space="preserve">. </w:t>
      </w:r>
      <w:r>
        <w:t>évben elvégzett ellenőrzések során büntető, szabálysértési, kártérítési eljárás megindítására okot adó cselekmény nem merült fel.</w:t>
      </w:r>
    </w:p>
    <w:p w14:paraId="7F741BCA" w14:textId="77777777" w:rsidR="00140293" w:rsidRDefault="00140293" w:rsidP="002A505D">
      <w:pPr>
        <w:jc w:val="both"/>
      </w:pPr>
    </w:p>
    <w:p w14:paraId="245B096C" w14:textId="77777777" w:rsidR="002A505D" w:rsidRDefault="00941F2B" w:rsidP="002A505D">
      <w:pPr>
        <w:jc w:val="both"/>
        <w:rPr>
          <w:b/>
        </w:rPr>
      </w:pPr>
      <w:r>
        <w:rPr>
          <w:b/>
        </w:rPr>
        <w:t>1.2. A bizonyosságot adó tevékenységet elősegítő és akadályozó tényezők bemutatása</w:t>
      </w:r>
    </w:p>
    <w:p w14:paraId="53854395" w14:textId="77777777" w:rsidR="00941F2B" w:rsidRDefault="00941F2B" w:rsidP="002A505D">
      <w:pPr>
        <w:jc w:val="both"/>
        <w:rPr>
          <w:b/>
        </w:rPr>
      </w:pPr>
    </w:p>
    <w:p w14:paraId="3A7E92AE" w14:textId="77777777" w:rsidR="00651A77" w:rsidRDefault="00651A77" w:rsidP="002A505D">
      <w:pPr>
        <w:jc w:val="both"/>
        <w:rPr>
          <w:b/>
        </w:rPr>
      </w:pPr>
    </w:p>
    <w:p w14:paraId="24CDF81A" w14:textId="77777777" w:rsidR="00941F2B" w:rsidRDefault="00941F2B" w:rsidP="002A505D">
      <w:pPr>
        <w:jc w:val="both"/>
        <w:rPr>
          <w:b/>
        </w:rPr>
      </w:pPr>
      <w:r>
        <w:rPr>
          <w:b/>
        </w:rPr>
        <w:lastRenderedPageBreak/>
        <w:t>1.2.a) A belső ellenőrzés humánerőforrás-ellátottsága</w:t>
      </w:r>
    </w:p>
    <w:p w14:paraId="0CB3BD96" w14:textId="77777777" w:rsidR="00747699" w:rsidRDefault="00747699" w:rsidP="002A505D">
      <w:pPr>
        <w:jc w:val="both"/>
        <w:rPr>
          <w:b/>
        </w:rPr>
      </w:pPr>
    </w:p>
    <w:p w14:paraId="667CE98C" w14:textId="77777777" w:rsidR="00925E78" w:rsidRDefault="00925E78" w:rsidP="00925E78">
      <w:pPr>
        <w:jc w:val="both"/>
      </w:pPr>
      <w:r>
        <w:t>A</w:t>
      </w:r>
      <w:r w:rsidR="00747699">
        <w:t>z önkormányzat a</w:t>
      </w:r>
      <w:r>
        <w:t xml:space="preserve"> belső ellenőrzési feladatok</w:t>
      </w:r>
      <w:r w:rsidR="00747699">
        <w:t>at</w:t>
      </w:r>
      <w:r>
        <w:t xml:space="preserve"> külső erőforrások bevonásával </w:t>
      </w:r>
      <w:r w:rsidR="00747699">
        <w:t>látta el. A</w:t>
      </w:r>
      <w:r>
        <w:t xml:space="preserve">z </w:t>
      </w:r>
      <w:proofErr w:type="spellStart"/>
      <w:r>
        <w:t>Orosha</w:t>
      </w:r>
      <w:proofErr w:type="spellEnd"/>
      <w:r>
        <w:t xml:space="preserve">-Jó Kereskedelmi és </w:t>
      </w:r>
      <w:r w:rsidRPr="00D168D3">
        <w:t>Szol</w:t>
      </w:r>
      <w:r w:rsidR="00747699">
        <w:t xml:space="preserve">gáltató </w:t>
      </w:r>
      <w:proofErr w:type="spellStart"/>
      <w:r w:rsidR="00747699">
        <w:t>Bt-vel</w:t>
      </w:r>
      <w:proofErr w:type="spellEnd"/>
      <w:r w:rsidR="00747699">
        <w:t xml:space="preserve"> kötött szerződés alapján</w:t>
      </w:r>
      <w:r w:rsidRPr="00D168D3">
        <w:t xml:space="preserve"> </w:t>
      </w:r>
      <w:r w:rsidR="00747699">
        <w:t>a</w:t>
      </w:r>
      <w:r w:rsidRPr="00D168D3">
        <w:t>z ellenőrzéseket – a megbízott közreműködőjeként</w:t>
      </w:r>
      <w:r w:rsidRPr="00D168D3">
        <w:rPr>
          <w:rFonts w:eastAsia="Arial Unicode MS"/>
        </w:rPr>
        <w:t xml:space="preserve"> –</w:t>
      </w:r>
      <w:r w:rsidRPr="00D168D3">
        <w:t xml:space="preserve"> Haklik Józsefné regisztrált belső</w:t>
      </w:r>
      <w:r>
        <w:t xml:space="preserve"> </w:t>
      </w:r>
      <w:r w:rsidRPr="00D168D3">
        <w:t>ellenőr végezte.</w:t>
      </w:r>
      <w:r w:rsidR="00747699">
        <w:t xml:space="preserve"> Nevezett megfelel a belső ellenőrök jogszabályban rögzített képzettségi követelmény</w:t>
      </w:r>
      <w:r w:rsidR="00847D62">
        <w:t>é</w:t>
      </w:r>
      <w:r w:rsidR="00747699">
        <w:t>nek.</w:t>
      </w:r>
      <w:r w:rsidR="00C57F85">
        <w:t xml:space="preserve"> A kötelező továbbképzést elvégezte.</w:t>
      </w:r>
    </w:p>
    <w:p w14:paraId="611899B1" w14:textId="77777777" w:rsidR="00FE7EE0" w:rsidRDefault="00FE7EE0" w:rsidP="00925E78">
      <w:pPr>
        <w:jc w:val="both"/>
      </w:pPr>
    </w:p>
    <w:p w14:paraId="07CD027B" w14:textId="77777777" w:rsidR="008D6715" w:rsidRDefault="008D6715" w:rsidP="00925E78">
      <w:pPr>
        <w:jc w:val="both"/>
        <w:rPr>
          <w:b/>
        </w:rPr>
      </w:pPr>
      <w:r w:rsidRPr="008D6715">
        <w:rPr>
          <w:b/>
        </w:rPr>
        <w:t>1.2.b) A belső ellenőrzés és belső ellenőr szervezeti és funkcionális függetlenségének biztosítása</w:t>
      </w:r>
    </w:p>
    <w:p w14:paraId="5EE4E0BA" w14:textId="77777777" w:rsidR="008D6715" w:rsidRDefault="008D6715" w:rsidP="00925E78">
      <w:pPr>
        <w:jc w:val="both"/>
        <w:rPr>
          <w:b/>
        </w:rPr>
      </w:pPr>
    </w:p>
    <w:p w14:paraId="0D8E3AAE" w14:textId="77777777" w:rsidR="008D6715" w:rsidRDefault="008D6715" w:rsidP="00925E78">
      <w:pPr>
        <w:jc w:val="both"/>
      </w:pPr>
      <w:r w:rsidRPr="008D6715">
        <w:t>A belső ellenőr szervezeti és feladatköri függetlensége biztosított</w:t>
      </w:r>
      <w:r w:rsidR="00205AB5">
        <w:t>.</w:t>
      </w:r>
      <w:r w:rsidRPr="008D6715">
        <w:t xml:space="preserve"> </w:t>
      </w:r>
      <w:r>
        <w:t>Tevékenységét az á</w:t>
      </w:r>
      <w:r w:rsidR="00847D62">
        <w:t>l</w:t>
      </w:r>
      <w:r>
        <w:t>lamháztartásért felelős miniszter által közzétett módszertani útmutatók</w:t>
      </w:r>
      <w:r w:rsidR="00847D62">
        <w:t xml:space="preserve"> és nemzetközi belső ellenőrzési standardok </w:t>
      </w:r>
      <w:proofErr w:type="gramStart"/>
      <w:r w:rsidR="00847D62">
        <w:t>figyelembe vételével</w:t>
      </w:r>
      <w:proofErr w:type="gramEnd"/>
      <w:r w:rsidR="00847D62">
        <w:t xml:space="preserve"> végzi.</w:t>
      </w:r>
    </w:p>
    <w:p w14:paraId="246DE966" w14:textId="77777777" w:rsidR="00963C97" w:rsidRDefault="00963C97" w:rsidP="00925E78">
      <w:pPr>
        <w:jc w:val="both"/>
        <w:rPr>
          <w:b/>
        </w:rPr>
      </w:pPr>
    </w:p>
    <w:p w14:paraId="279FACC6" w14:textId="77777777" w:rsidR="00847D62" w:rsidRDefault="00847D62" w:rsidP="00925E78">
      <w:pPr>
        <w:jc w:val="both"/>
        <w:rPr>
          <w:b/>
        </w:rPr>
      </w:pPr>
      <w:r w:rsidRPr="00847D62">
        <w:rPr>
          <w:b/>
        </w:rPr>
        <w:t>1.2.c) Összeférhetetlenségi esetek</w:t>
      </w:r>
    </w:p>
    <w:p w14:paraId="33B3DCAE" w14:textId="77777777" w:rsidR="00847D62" w:rsidRDefault="00847D62" w:rsidP="00925E78">
      <w:pPr>
        <w:jc w:val="both"/>
        <w:rPr>
          <w:b/>
        </w:rPr>
      </w:pPr>
    </w:p>
    <w:p w14:paraId="1625D442" w14:textId="77777777" w:rsidR="00847D62" w:rsidRDefault="00847D62" w:rsidP="00925E78">
      <w:pPr>
        <w:jc w:val="both"/>
      </w:pPr>
      <w:r w:rsidRPr="00847D62">
        <w:t>Az ellenőrz</w:t>
      </w:r>
      <w:r w:rsidR="000513C0">
        <w:t>ött tételek</w:t>
      </w:r>
      <w:r w:rsidRPr="00847D62">
        <w:t xml:space="preserve"> során összeférhetetlenségi eset nem </w:t>
      </w:r>
      <w:r w:rsidR="000513C0">
        <w:t>fordult elő</w:t>
      </w:r>
      <w:r w:rsidR="00D96541">
        <w:t>.</w:t>
      </w:r>
    </w:p>
    <w:p w14:paraId="444CA1AC" w14:textId="77777777" w:rsidR="00281136" w:rsidRDefault="00281136" w:rsidP="00925E78">
      <w:pPr>
        <w:jc w:val="both"/>
        <w:rPr>
          <w:b/>
        </w:rPr>
      </w:pPr>
    </w:p>
    <w:p w14:paraId="4AE31814" w14:textId="77777777" w:rsidR="00847D62" w:rsidRDefault="00847D62" w:rsidP="00925E78">
      <w:pPr>
        <w:jc w:val="both"/>
        <w:rPr>
          <w:b/>
        </w:rPr>
      </w:pPr>
      <w:r w:rsidRPr="00800093">
        <w:rPr>
          <w:b/>
        </w:rPr>
        <w:t>1.2.d) A belső</w:t>
      </w:r>
      <w:r w:rsidR="00800093" w:rsidRPr="00800093">
        <w:rPr>
          <w:b/>
        </w:rPr>
        <w:t xml:space="preserve"> </w:t>
      </w:r>
      <w:r w:rsidRPr="00800093">
        <w:rPr>
          <w:b/>
        </w:rPr>
        <w:t>ellenőri jogo</w:t>
      </w:r>
      <w:r w:rsidR="00800093" w:rsidRPr="00800093">
        <w:rPr>
          <w:b/>
        </w:rPr>
        <w:t>kkal kapcsolatos esetleges korlátozások bemutatása</w:t>
      </w:r>
    </w:p>
    <w:p w14:paraId="051F93E2" w14:textId="77777777" w:rsidR="00800093" w:rsidRDefault="00800093" w:rsidP="00925E78">
      <w:pPr>
        <w:jc w:val="both"/>
        <w:rPr>
          <w:b/>
        </w:rPr>
      </w:pPr>
    </w:p>
    <w:p w14:paraId="2778E5B2" w14:textId="77777777" w:rsidR="00800093" w:rsidRDefault="00800093" w:rsidP="00925E78">
      <w:pPr>
        <w:jc w:val="both"/>
      </w:pPr>
      <w:r>
        <w:t>A belső ellenőr jogai nem csorbultak, az ellenőrzött személyek a szükséges segítséget megadták. Az ellenőrzés alá vont szervezet vezetője és dolgozói a vizsgálat alá vont dokumentumokat, nyilvántartásokat időben rendelkezésre bocsátották.</w:t>
      </w:r>
    </w:p>
    <w:p w14:paraId="6410B807" w14:textId="77777777" w:rsidR="00800093" w:rsidRDefault="00800093" w:rsidP="00925E78">
      <w:pPr>
        <w:jc w:val="both"/>
      </w:pPr>
    </w:p>
    <w:p w14:paraId="7070C0A1" w14:textId="77777777" w:rsidR="00800093" w:rsidRDefault="00996406" w:rsidP="00925E78">
      <w:pPr>
        <w:jc w:val="both"/>
        <w:rPr>
          <w:b/>
        </w:rPr>
      </w:pPr>
      <w:r w:rsidRPr="00996406">
        <w:rPr>
          <w:b/>
        </w:rPr>
        <w:t>1.2.e) A belsőellenőrzést akadályozó tényezők</w:t>
      </w:r>
    </w:p>
    <w:p w14:paraId="309AC365" w14:textId="77777777" w:rsidR="00996406" w:rsidRDefault="00996406" w:rsidP="00925E78">
      <w:pPr>
        <w:jc w:val="both"/>
        <w:rPr>
          <w:b/>
        </w:rPr>
      </w:pPr>
    </w:p>
    <w:p w14:paraId="3C46CA8A" w14:textId="77777777" w:rsidR="00500E50" w:rsidRDefault="00996406" w:rsidP="00925E78">
      <w:pPr>
        <w:jc w:val="both"/>
      </w:pPr>
      <w:r w:rsidRPr="00996406">
        <w:t>A belső ellenőrzéshez szükséges tárgyi feltételek</w:t>
      </w:r>
      <w:r w:rsidR="00205AB5">
        <w:t>et a belső ellenőr biztosította</w:t>
      </w:r>
      <w:r w:rsidR="00500E50">
        <w:t>. Egyéb akadályozó tényező az önkormány és költségvetési szervei részéről nem merült fel.</w:t>
      </w:r>
    </w:p>
    <w:p w14:paraId="02D4E99A" w14:textId="77777777" w:rsidR="00996406" w:rsidRDefault="00996406" w:rsidP="00925E78">
      <w:pPr>
        <w:jc w:val="both"/>
      </w:pPr>
      <w:r w:rsidRPr="00996406">
        <w:t>A megállapítások az ellenőrzött szervezetek dolgozóival egyeztetésre kerültek, észrevétel</w:t>
      </w:r>
      <w:r>
        <w:t>t</w:t>
      </w:r>
      <w:r w:rsidRPr="00996406">
        <w:t xml:space="preserve"> nem </w:t>
      </w:r>
      <w:r>
        <w:t xml:space="preserve">fogalmaztak meg. A jelentések </w:t>
      </w:r>
      <w:r w:rsidR="00235F90">
        <w:t xml:space="preserve">a </w:t>
      </w:r>
      <w:proofErr w:type="spellStart"/>
      <w:r w:rsidR="00235F90">
        <w:t>Bkr</w:t>
      </w:r>
      <w:proofErr w:type="spellEnd"/>
      <w:r w:rsidR="00235F90">
        <w:t>-ben és az útmutatókban foglaltak alapján készültek el.</w:t>
      </w:r>
    </w:p>
    <w:p w14:paraId="3D1267C7" w14:textId="77777777" w:rsidR="00235F90" w:rsidRDefault="00235F90" w:rsidP="00925E78">
      <w:pPr>
        <w:jc w:val="both"/>
      </w:pPr>
    </w:p>
    <w:p w14:paraId="062404EE" w14:textId="77777777" w:rsidR="00235F90" w:rsidRDefault="00235F90" w:rsidP="00925E78">
      <w:pPr>
        <w:jc w:val="both"/>
      </w:pPr>
      <w:r w:rsidRPr="00235F90">
        <w:rPr>
          <w:b/>
        </w:rPr>
        <w:t>1.2.f) Az ellenőrzések nyilvántartása</w:t>
      </w:r>
    </w:p>
    <w:p w14:paraId="2EDDDB74" w14:textId="77777777" w:rsidR="00235F90" w:rsidRDefault="00235F90" w:rsidP="00925E78">
      <w:pPr>
        <w:jc w:val="both"/>
      </w:pPr>
    </w:p>
    <w:p w14:paraId="1038C570" w14:textId="77777777" w:rsidR="00235F90" w:rsidRDefault="00235F90" w:rsidP="00925E78">
      <w:pPr>
        <w:jc w:val="both"/>
      </w:pPr>
      <w:r>
        <w:t xml:space="preserve">Az ellenőrzési dokumentumok megőrzése, az adatok szabályszerű, biztonságos tárolása megvalósult. Az ellenőrzések, valamint a megállapítások, javaslatok hatására megtett intézkedések nyilvántartása a </w:t>
      </w:r>
      <w:proofErr w:type="spellStart"/>
      <w:r>
        <w:t>Bkr</w:t>
      </w:r>
      <w:proofErr w:type="spellEnd"/>
      <w:r>
        <w:t>-ben szabályozott módon</w:t>
      </w:r>
      <w:r w:rsidR="000B72D6">
        <w:t>, a Nemzetgazdasági Minisztérium által közzétett útmutató alapján került sor.</w:t>
      </w:r>
    </w:p>
    <w:p w14:paraId="6CFB1A6C" w14:textId="77777777" w:rsidR="0081636A" w:rsidRDefault="0081636A" w:rsidP="00925E78">
      <w:pPr>
        <w:jc w:val="both"/>
      </w:pPr>
    </w:p>
    <w:p w14:paraId="78319F09" w14:textId="77777777" w:rsidR="0081636A" w:rsidRDefault="0081636A" w:rsidP="00925E78">
      <w:pPr>
        <w:jc w:val="both"/>
        <w:rPr>
          <w:b/>
        </w:rPr>
      </w:pPr>
      <w:r w:rsidRPr="0081636A">
        <w:rPr>
          <w:b/>
        </w:rPr>
        <w:t>1.3. A tanácsadói tevékenység bemutatása</w:t>
      </w:r>
    </w:p>
    <w:p w14:paraId="22AF1B93" w14:textId="77777777" w:rsidR="0081636A" w:rsidRDefault="0081636A" w:rsidP="00925E78">
      <w:pPr>
        <w:jc w:val="both"/>
      </w:pPr>
    </w:p>
    <w:p w14:paraId="32C1A142" w14:textId="77777777" w:rsidR="00941F2B" w:rsidRDefault="0081636A" w:rsidP="002A505D">
      <w:pPr>
        <w:jc w:val="both"/>
      </w:pPr>
      <w:r>
        <w:t>A belső ellenőr munkája során tanácsadó feladatot is ellát.</w:t>
      </w:r>
      <w:r w:rsidR="00DF5C2E">
        <w:t xml:space="preserve"> </w:t>
      </w:r>
      <w:r w:rsidR="00104B9C">
        <w:t>Az ellenőrzések során tett megállapítások alapján szakmai segítséget nyújt. Segítséget nyújt jogszabály értelmezésben is. Jó kapcsolat alakult ki az ellenőrzött szervezetek vezetőivel, dolgozóival, ennek eredményeként több esetben megkeresik a belső ellenőrt szakmai kérdéseikkel.</w:t>
      </w:r>
      <w:r w:rsidR="00155E06">
        <w:t xml:space="preserve"> Segítette a költségvetési szervek vezetőinek munkáját.</w:t>
      </w:r>
    </w:p>
    <w:p w14:paraId="4954260F" w14:textId="77777777" w:rsidR="00155E06" w:rsidRDefault="00155E06" w:rsidP="002A505D">
      <w:pPr>
        <w:jc w:val="both"/>
      </w:pPr>
    </w:p>
    <w:p w14:paraId="3C44F96C" w14:textId="77777777" w:rsidR="00155E06" w:rsidRDefault="00155E06" w:rsidP="002A505D">
      <w:pPr>
        <w:jc w:val="both"/>
      </w:pPr>
    </w:p>
    <w:p w14:paraId="3D217442" w14:textId="77777777" w:rsidR="00155E06" w:rsidRDefault="00155E06" w:rsidP="002A505D">
      <w:pPr>
        <w:jc w:val="both"/>
      </w:pPr>
    </w:p>
    <w:p w14:paraId="4775E184" w14:textId="77777777" w:rsidR="00155E06" w:rsidRPr="002A505D" w:rsidRDefault="00155E06" w:rsidP="002A505D">
      <w:pPr>
        <w:jc w:val="both"/>
        <w:rPr>
          <w:b/>
        </w:rPr>
      </w:pPr>
    </w:p>
    <w:p w14:paraId="1059611E" w14:textId="77777777" w:rsidR="00FE7EE0" w:rsidRDefault="00FE7EE0" w:rsidP="00FE7EE0">
      <w:pPr>
        <w:jc w:val="both"/>
        <w:rPr>
          <w:b/>
        </w:rPr>
      </w:pPr>
    </w:p>
    <w:p w14:paraId="4FEF7F68" w14:textId="77777777" w:rsidR="002A505D" w:rsidRDefault="0074170F" w:rsidP="00675F96">
      <w:pPr>
        <w:numPr>
          <w:ilvl w:val="0"/>
          <w:numId w:val="11"/>
        </w:numPr>
        <w:tabs>
          <w:tab w:val="clear" w:pos="720"/>
          <w:tab w:val="num" w:pos="180"/>
        </w:tabs>
        <w:ind w:left="360"/>
        <w:jc w:val="both"/>
        <w:rPr>
          <w:b/>
        </w:rPr>
      </w:pPr>
      <w:r>
        <w:rPr>
          <w:b/>
        </w:rPr>
        <w:t xml:space="preserve"> </w:t>
      </w:r>
      <w:r w:rsidR="00D50773">
        <w:rPr>
          <w:b/>
        </w:rPr>
        <w:t>A belsőkontroll rendszer működésének értékelése ellenőrzési tapasztalatok alapján</w:t>
      </w:r>
    </w:p>
    <w:p w14:paraId="31F7ABDF" w14:textId="77777777" w:rsidR="0074170F" w:rsidRDefault="0074170F" w:rsidP="0074170F">
      <w:pPr>
        <w:jc w:val="both"/>
      </w:pPr>
    </w:p>
    <w:p w14:paraId="058963DB" w14:textId="77777777" w:rsidR="002A505D" w:rsidRDefault="0074170F" w:rsidP="00C04E98">
      <w:pPr>
        <w:jc w:val="both"/>
      </w:pPr>
      <w:r>
        <w:t xml:space="preserve">Az ellenőrzések során a belső ellenőrzés igyekezett segítő szándékkal, ugyanakkor </w:t>
      </w:r>
      <w:proofErr w:type="gramStart"/>
      <w:r w:rsidR="00FF4CB4">
        <w:t>teljes körűen</w:t>
      </w:r>
      <w:proofErr w:type="gramEnd"/>
      <w:r w:rsidR="00FF4CB4">
        <w:t xml:space="preserve"> feltárni a hibákat és hiányosságokat. A vizsgálat kiterjedt az elkövetett hibák lehetséges következményeinek elemzésére is.</w:t>
      </w:r>
      <w:r>
        <w:t xml:space="preserve"> </w:t>
      </w:r>
    </w:p>
    <w:p w14:paraId="02C873DF" w14:textId="77777777" w:rsidR="0078407F" w:rsidRDefault="004109E7" w:rsidP="00C04E98">
      <w:pPr>
        <w:jc w:val="both"/>
      </w:pPr>
      <w:r>
        <w:t>A megállapításokhoz</w:t>
      </w:r>
      <w:r w:rsidR="00FF4CB4">
        <w:t xml:space="preserve"> – amennyiben az hiányosságot tárt fel – javaslatok kapcsolódtak, melyek a szabályszerűséget és a kontrollrendszer javítását szolgálták.</w:t>
      </w:r>
    </w:p>
    <w:p w14:paraId="5F11E509" w14:textId="77777777" w:rsidR="00AF4480" w:rsidRDefault="00AF4480" w:rsidP="00C04E98">
      <w:pPr>
        <w:jc w:val="both"/>
      </w:pPr>
    </w:p>
    <w:p w14:paraId="4C8C7EDC" w14:textId="77777777" w:rsidR="00C86E74" w:rsidRDefault="00C86E74" w:rsidP="00C04E98">
      <w:pPr>
        <w:jc w:val="both"/>
        <w:rPr>
          <w:b/>
        </w:rPr>
      </w:pPr>
      <w:r w:rsidRPr="00C86E74">
        <w:rPr>
          <w:b/>
        </w:rPr>
        <w:t>2.1. A belső kontrollrendszer szabályszerűségének, gazdaságosságának, hatékonyságának és eredményességének növelése, javítása érdekében tett fontosabb javaslatok</w:t>
      </w:r>
    </w:p>
    <w:p w14:paraId="44EBA0AD" w14:textId="77777777" w:rsidR="00C86E74" w:rsidRDefault="00C86E74" w:rsidP="00C04E98">
      <w:pPr>
        <w:jc w:val="both"/>
        <w:rPr>
          <w:b/>
        </w:rPr>
      </w:pPr>
    </w:p>
    <w:p w14:paraId="1E7FF620" w14:textId="77777777" w:rsidR="00C86E74" w:rsidRDefault="00C86E74" w:rsidP="00C04E98">
      <w:pPr>
        <w:jc w:val="both"/>
      </w:pPr>
      <w:r w:rsidRPr="00C86E74">
        <w:t xml:space="preserve">A kiemelt jelentőségű </w:t>
      </w:r>
      <w:r>
        <w:t>megállapítás olyan helyzetet tár fel, amelyben a vizsgált intézmény kockázati kitettsége jelentős. Néhány példa</w:t>
      </w:r>
      <w:r w:rsidR="00BB53ED">
        <w:t xml:space="preserve"> a kiemelt jelentőségű megállapításból:</w:t>
      </w:r>
    </w:p>
    <w:p w14:paraId="2E11E4F8" w14:textId="77777777" w:rsidR="00C85CC9" w:rsidRDefault="00C85CC9" w:rsidP="00C04E98">
      <w:pPr>
        <w:jc w:val="both"/>
      </w:pPr>
    </w:p>
    <w:p w14:paraId="7F89D289" w14:textId="77777777" w:rsidR="00C85CC9" w:rsidRDefault="00C85CC9" w:rsidP="00C04E9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8"/>
        <w:gridCol w:w="2271"/>
        <w:gridCol w:w="2262"/>
        <w:gridCol w:w="2271"/>
      </w:tblGrid>
      <w:tr w:rsidR="00BB53ED" w14:paraId="47D9F026" w14:textId="77777777" w:rsidTr="00CC2C5C">
        <w:tc>
          <w:tcPr>
            <w:tcW w:w="2258" w:type="dxa"/>
          </w:tcPr>
          <w:p w14:paraId="655EC6CE" w14:textId="77777777" w:rsidR="00BB53ED" w:rsidRDefault="00BB53ED" w:rsidP="00F61B3C">
            <w:pPr>
              <w:jc w:val="center"/>
            </w:pPr>
            <w:r>
              <w:t>Vizsgálat címe</w:t>
            </w:r>
          </w:p>
        </w:tc>
        <w:tc>
          <w:tcPr>
            <w:tcW w:w="2271" w:type="dxa"/>
          </w:tcPr>
          <w:p w14:paraId="7FFDC28B" w14:textId="77777777" w:rsidR="00BB53ED" w:rsidRDefault="00BB53ED" w:rsidP="00F61B3C">
            <w:pPr>
              <w:jc w:val="center"/>
            </w:pPr>
            <w:r>
              <w:t>Megállapítás</w:t>
            </w:r>
          </w:p>
        </w:tc>
        <w:tc>
          <w:tcPr>
            <w:tcW w:w="2262" w:type="dxa"/>
          </w:tcPr>
          <w:p w14:paraId="451D5C69" w14:textId="77777777" w:rsidR="00BB53ED" w:rsidRDefault="00BB53ED" w:rsidP="00F61B3C">
            <w:pPr>
              <w:jc w:val="center"/>
            </w:pPr>
            <w:r>
              <w:t>Következtetés</w:t>
            </w:r>
          </w:p>
        </w:tc>
        <w:tc>
          <w:tcPr>
            <w:tcW w:w="2271" w:type="dxa"/>
          </w:tcPr>
          <w:p w14:paraId="126F032F" w14:textId="77777777" w:rsidR="00BB53ED" w:rsidRDefault="00BB53ED" w:rsidP="00F61B3C">
            <w:pPr>
              <w:jc w:val="center"/>
            </w:pPr>
            <w:r>
              <w:t>Javaslat</w:t>
            </w:r>
          </w:p>
        </w:tc>
      </w:tr>
      <w:tr w:rsidR="00281136" w:rsidRPr="00205AB5" w14:paraId="60C1DB5C" w14:textId="77777777" w:rsidTr="00CC2C5C">
        <w:tc>
          <w:tcPr>
            <w:tcW w:w="2258" w:type="dxa"/>
          </w:tcPr>
          <w:p w14:paraId="0EDEC5FD" w14:textId="77777777" w:rsidR="00281136" w:rsidRPr="00205AB5" w:rsidRDefault="00281136" w:rsidP="00281136">
            <w:pPr>
              <w:jc w:val="both"/>
              <w:rPr>
                <w:sz w:val="20"/>
                <w:szCs w:val="20"/>
              </w:rPr>
            </w:pPr>
            <w:r w:rsidRPr="003B29D5">
              <w:rPr>
                <w:sz w:val="20"/>
                <w:szCs w:val="20"/>
              </w:rPr>
              <w:t>A helyi önkormányzatok működéséhez és ágazati feladatainak ellátásához nyújtott támogatások</w:t>
            </w:r>
            <w:r>
              <w:t xml:space="preserve"> </w:t>
            </w:r>
            <w:r w:rsidRPr="003B29D5">
              <w:rPr>
                <w:sz w:val="20"/>
                <w:szCs w:val="20"/>
              </w:rPr>
              <w:t>felhasználása</w:t>
            </w:r>
            <w:r>
              <w:rPr>
                <w:sz w:val="20"/>
                <w:szCs w:val="20"/>
              </w:rPr>
              <w:t xml:space="preserve"> és elszámolása</w:t>
            </w:r>
            <w:r w:rsidRPr="00205A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1" w:type="dxa"/>
          </w:tcPr>
          <w:p w14:paraId="135E28C5" w14:textId="77777777" w:rsidR="00155E06" w:rsidRDefault="00155E06" w:rsidP="00281136">
            <w:pPr>
              <w:jc w:val="both"/>
              <w:rPr>
                <w:rFonts w:eastAsia="PMingLiU"/>
                <w:sz w:val="20"/>
                <w:szCs w:val="20"/>
              </w:rPr>
            </w:pPr>
          </w:p>
          <w:p w14:paraId="1E4EC757" w14:textId="31E2F0D4" w:rsidR="00281136" w:rsidRDefault="00281136" w:rsidP="00281136">
            <w:pPr>
              <w:jc w:val="both"/>
              <w:rPr>
                <w:rFonts w:eastAsia="PMingLiU"/>
                <w:sz w:val="20"/>
                <w:szCs w:val="20"/>
              </w:rPr>
            </w:pPr>
            <w:r w:rsidRPr="009C3ED3">
              <w:rPr>
                <w:rFonts w:eastAsia="PMingLiU"/>
                <w:sz w:val="20"/>
                <w:szCs w:val="20"/>
              </w:rPr>
              <w:t>A</w:t>
            </w:r>
            <w:r w:rsidR="009C3ED3" w:rsidRPr="009C3ED3">
              <w:rPr>
                <w:sz w:val="20"/>
                <w:szCs w:val="20"/>
              </w:rPr>
              <w:t xml:space="preserve"> </w:t>
            </w:r>
            <w:r w:rsidR="009C3ED3" w:rsidRPr="00DE0A83">
              <w:rPr>
                <w:sz w:val="20"/>
                <w:szCs w:val="20"/>
              </w:rPr>
              <w:t>Manóliget Óvoda és Mini Bölcsődénél</w:t>
            </w:r>
            <w:r>
              <w:rPr>
                <w:rFonts w:eastAsia="PMingLiU"/>
                <w:sz w:val="20"/>
                <w:szCs w:val="20"/>
              </w:rPr>
              <w:t xml:space="preserve"> </w:t>
            </w:r>
            <w:r w:rsidR="00155E06">
              <w:rPr>
                <w:rFonts w:eastAsia="PMingLiU"/>
                <w:sz w:val="20"/>
                <w:szCs w:val="20"/>
              </w:rPr>
              <w:t>kevesebb óvoda pedagógus volt foglalkoztatva</w:t>
            </w:r>
          </w:p>
          <w:p w14:paraId="4F4209CE" w14:textId="77777777" w:rsidR="00281136" w:rsidRDefault="00281136" w:rsidP="00281136">
            <w:pPr>
              <w:jc w:val="both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2262" w:type="dxa"/>
          </w:tcPr>
          <w:p w14:paraId="337EFC54" w14:textId="77777777" w:rsidR="00281136" w:rsidRDefault="00281136" w:rsidP="00281136">
            <w:pPr>
              <w:jc w:val="both"/>
              <w:rPr>
                <w:sz w:val="20"/>
                <w:szCs w:val="20"/>
              </w:rPr>
            </w:pPr>
          </w:p>
          <w:p w14:paraId="29A2E9D9" w14:textId="77777777" w:rsidR="00281136" w:rsidRDefault="00281136" w:rsidP="00281136">
            <w:pPr>
              <w:jc w:val="both"/>
              <w:rPr>
                <w:sz w:val="20"/>
                <w:szCs w:val="20"/>
              </w:rPr>
            </w:pPr>
          </w:p>
          <w:p w14:paraId="69F200AC" w14:textId="77777777" w:rsidR="00281136" w:rsidRPr="00205AB5" w:rsidRDefault="00281136" w:rsidP="00155E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Belső kontroll</w:t>
            </w:r>
            <w:r w:rsidR="00155E06">
              <w:rPr>
                <w:sz w:val="20"/>
                <w:szCs w:val="20"/>
              </w:rPr>
              <w:t xml:space="preserve"> és folyamatos egyeztetés </w:t>
            </w:r>
            <w:r>
              <w:rPr>
                <w:sz w:val="20"/>
                <w:szCs w:val="20"/>
              </w:rPr>
              <w:t>hiánya</w:t>
            </w:r>
            <w:r w:rsidR="00155E06">
              <w:rPr>
                <w:sz w:val="20"/>
                <w:szCs w:val="20"/>
              </w:rPr>
              <w:t xml:space="preserve">, </w:t>
            </w:r>
          </w:p>
        </w:tc>
        <w:tc>
          <w:tcPr>
            <w:tcW w:w="2271" w:type="dxa"/>
          </w:tcPr>
          <w:p w14:paraId="0410B455" w14:textId="77777777" w:rsidR="00281136" w:rsidRDefault="00281136" w:rsidP="00281136">
            <w:pPr>
              <w:jc w:val="both"/>
              <w:rPr>
                <w:rFonts w:eastAsia="PMingLiU"/>
                <w:sz w:val="20"/>
                <w:szCs w:val="20"/>
              </w:rPr>
            </w:pPr>
          </w:p>
          <w:p w14:paraId="0FE2DF4C" w14:textId="77777777" w:rsidR="00E37295" w:rsidRDefault="00E37295" w:rsidP="00E37295">
            <w:pPr>
              <w:jc w:val="both"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t>A belső kontroll rendszert folyamatosan működtetni kell</w:t>
            </w:r>
          </w:p>
          <w:p w14:paraId="0D9D25DA" w14:textId="77777777" w:rsidR="00281136" w:rsidRPr="00E838B4" w:rsidRDefault="00281136" w:rsidP="00281136">
            <w:pPr>
              <w:jc w:val="both"/>
              <w:rPr>
                <w:rFonts w:eastAsia="PMingLiU"/>
                <w:sz w:val="20"/>
                <w:szCs w:val="20"/>
              </w:rPr>
            </w:pPr>
          </w:p>
        </w:tc>
      </w:tr>
      <w:tr w:rsidR="00281136" w:rsidRPr="00205AB5" w14:paraId="089B01D5" w14:textId="77777777" w:rsidTr="00CC2C5C">
        <w:tc>
          <w:tcPr>
            <w:tcW w:w="2258" w:type="dxa"/>
          </w:tcPr>
          <w:p w14:paraId="080936FC" w14:textId="77777777" w:rsidR="00281136" w:rsidRDefault="00281136" w:rsidP="00281136">
            <w:pPr>
              <w:jc w:val="both"/>
              <w:rPr>
                <w:sz w:val="20"/>
              </w:rPr>
            </w:pPr>
          </w:p>
          <w:p w14:paraId="648F1DDD" w14:textId="77777777" w:rsidR="00281136" w:rsidRDefault="00E37295" w:rsidP="00281136">
            <w:pPr>
              <w:jc w:val="both"/>
              <w:rPr>
                <w:sz w:val="20"/>
                <w:szCs w:val="20"/>
              </w:rPr>
            </w:pPr>
            <w:r w:rsidRPr="003B29D5">
              <w:rPr>
                <w:sz w:val="20"/>
                <w:szCs w:val="20"/>
              </w:rPr>
              <w:t>A helyi önkormányzatok működéséhez és ágazati feladatainak ellátásához nyújtott támogatások</w:t>
            </w:r>
            <w:r>
              <w:t xml:space="preserve"> </w:t>
            </w:r>
            <w:r w:rsidRPr="003B29D5">
              <w:rPr>
                <w:sz w:val="20"/>
                <w:szCs w:val="20"/>
              </w:rPr>
              <w:t>felhasználása</w:t>
            </w:r>
            <w:r>
              <w:rPr>
                <w:sz w:val="20"/>
                <w:szCs w:val="20"/>
              </w:rPr>
              <w:t xml:space="preserve"> és elszámolása</w:t>
            </w:r>
            <w:r w:rsidRPr="00205AB5">
              <w:rPr>
                <w:sz w:val="20"/>
                <w:szCs w:val="20"/>
              </w:rPr>
              <w:t xml:space="preserve"> </w:t>
            </w:r>
          </w:p>
          <w:p w14:paraId="61798997" w14:textId="77777777" w:rsidR="00E37295" w:rsidRDefault="00E37295" w:rsidP="002811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1" w:type="dxa"/>
          </w:tcPr>
          <w:p w14:paraId="0EA04BB0" w14:textId="77777777" w:rsidR="00281136" w:rsidRDefault="00281136" w:rsidP="00281136">
            <w:pPr>
              <w:jc w:val="both"/>
              <w:rPr>
                <w:rFonts w:eastAsia="PMingLiU"/>
                <w:sz w:val="20"/>
                <w:szCs w:val="20"/>
              </w:rPr>
            </w:pPr>
          </w:p>
          <w:p w14:paraId="36844CA5" w14:textId="77777777" w:rsidR="00E37295" w:rsidRDefault="00E37295" w:rsidP="00E37295">
            <w:pPr>
              <w:jc w:val="both"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t xml:space="preserve">A kiutalt szociális </w:t>
            </w:r>
            <w:r w:rsidR="00155E06">
              <w:rPr>
                <w:rFonts w:eastAsia="PMingLiU"/>
                <w:sz w:val="20"/>
                <w:szCs w:val="20"/>
              </w:rPr>
              <w:t xml:space="preserve">normatíva nem lett felhasználva, amely </w:t>
            </w:r>
            <w:r>
              <w:rPr>
                <w:rFonts w:eastAsia="PMingLiU"/>
                <w:sz w:val="20"/>
                <w:szCs w:val="20"/>
              </w:rPr>
              <w:t>visszafizetési kötelezettséget eredményezett</w:t>
            </w:r>
          </w:p>
          <w:p w14:paraId="0C7D2824" w14:textId="77777777" w:rsidR="00281136" w:rsidRPr="0064147C" w:rsidRDefault="00281136" w:rsidP="00281136">
            <w:pPr>
              <w:jc w:val="both"/>
              <w:rPr>
                <w:rFonts w:eastAsia="PMingLiU"/>
                <w:sz w:val="20"/>
                <w:szCs w:val="20"/>
              </w:rPr>
            </w:pPr>
          </w:p>
        </w:tc>
        <w:tc>
          <w:tcPr>
            <w:tcW w:w="2262" w:type="dxa"/>
          </w:tcPr>
          <w:p w14:paraId="3879AA85" w14:textId="77777777" w:rsidR="00281136" w:rsidRDefault="00281136" w:rsidP="00281136">
            <w:pPr>
              <w:jc w:val="both"/>
              <w:rPr>
                <w:sz w:val="20"/>
                <w:szCs w:val="20"/>
              </w:rPr>
            </w:pPr>
          </w:p>
          <w:p w14:paraId="2E8F880F" w14:textId="77777777" w:rsidR="00E37295" w:rsidRDefault="00E37295" w:rsidP="00281136">
            <w:pPr>
              <w:jc w:val="both"/>
              <w:rPr>
                <w:sz w:val="20"/>
                <w:szCs w:val="20"/>
              </w:rPr>
            </w:pPr>
          </w:p>
          <w:p w14:paraId="536375D3" w14:textId="77777777" w:rsidR="00281136" w:rsidRDefault="00E37295" w:rsidP="0028113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Belső kontroll és folyamatos egyeztetés hiánya</w:t>
            </w:r>
          </w:p>
        </w:tc>
        <w:tc>
          <w:tcPr>
            <w:tcW w:w="2271" w:type="dxa"/>
          </w:tcPr>
          <w:p w14:paraId="29ABF958" w14:textId="77777777" w:rsidR="00E37295" w:rsidRDefault="00E37295" w:rsidP="00E37295">
            <w:pPr>
              <w:jc w:val="both"/>
              <w:rPr>
                <w:rFonts w:eastAsia="PMingLiU"/>
                <w:sz w:val="20"/>
                <w:szCs w:val="20"/>
              </w:rPr>
            </w:pPr>
          </w:p>
          <w:p w14:paraId="458968B4" w14:textId="77777777" w:rsidR="00E37295" w:rsidRDefault="00E37295" w:rsidP="00E37295">
            <w:pPr>
              <w:jc w:val="both"/>
              <w:rPr>
                <w:rFonts w:eastAsia="PMingLiU"/>
                <w:sz w:val="20"/>
                <w:szCs w:val="20"/>
              </w:rPr>
            </w:pPr>
          </w:p>
          <w:p w14:paraId="4382A306" w14:textId="77777777" w:rsidR="00E37295" w:rsidRDefault="00E37295" w:rsidP="00E37295">
            <w:pPr>
              <w:jc w:val="both"/>
              <w:rPr>
                <w:rFonts w:eastAsia="PMingLiU"/>
                <w:sz w:val="20"/>
                <w:szCs w:val="20"/>
              </w:rPr>
            </w:pPr>
            <w:r>
              <w:rPr>
                <w:rFonts w:eastAsia="PMingLiU"/>
                <w:sz w:val="20"/>
                <w:szCs w:val="20"/>
              </w:rPr>
              <w:t>Évközben folyamatosan figyelemmel kell kísérni a felhasználás alakulását.</w:t>
            </w:r>
          </w:p>
          <w:p w14:paraId="05B4EAA9" w14:textId="77777777" w:rsidR="00281136" w:rsidRPr="0064147C" w:rsidRDefault="00281136" w:rsidP="00281136">
            <w:pPr>
              <w:widowControl w:val="0"/>
              <w:jc w:val="both"/>
              <w:rPr>
                <w:rFonts w:eastAsia="PMingLiU"/>
                <w:sz w:val="20"/>
                <w:szCs w:val="20"/>
              </w:rPr>
            </w:pPr>
          </w:p>
        </w:tc>
      </w:tr>
    </w:tbl>
    <w:p w14:paraId="3DA1F0D7" w14:textId="77777777" w:rsidR="006A6DEE" w:rsidRDefault="006A6DEE" w:rsidP="00C04E98">
      <w:pPr>
        <w:jc w:val="both"/>
        <w:rPr>
          <w:b/>
        </w:rPr>
      </w:pPr>
    </w:p>
    <w:p w14:paraId="08A1453F" w14:textId="77777777" w:rsidR="00C04E98" w:rsidRDefault="00E3222B" w:rsidP="00C04E98">
      <w:pPr>
        <w:jc w:val="both"/>
        <w:rPr>
          <w:b/>
        </w:rPr>
      </w:pPr>
      <w:r w:rsidRPr="00E3222B">
        <w:rPr>
          <w:b/>
        </w:rPr>
        <w:t>2.2. A belső kontrollrendszer öt elemének értékelése</w:t>
      </w:r>
    </w:p>
    <w:p w14:paraId="2DEA2CE6" w14:textId="77777777" w:rsidR="00E3222B" w:rsidRDefault="00E3222B" w:rsidP="00C04E98">
      <w:pPr>
        <w:jc w:val="both"/>
      </w:pPr>
    </w:p>
    <w:p w14:paraId="0BC93113" w14:textId="77777777" w:rsidR="00E3222B" w:rsidRDefault="00E3222B" w:rsidP="00C04E98">
      <w:pPr>
        <w:jc w:val="both"/>
      </w:pPr>
      <w:r>
        <w:t xml:space="preserve">A költségvetési szerveknél a belső kontrollrendszer keretében </w:t>
      </w:r>
      <w:r w:rsidR="000667E0">
        <w:t xml:space="preserve">működtetni kell a kontrollkörnyezetet, a kockázatkezelési rendszert, a kontrolltevékenységet, az információs és kommunikációs rendszereket, valamint a nyomon követési rendszert (monitoring) a jogszabályi előírások </w:t>
      </w:r>
      <w:proofErr w:type="gramStart"/>
      <w:r w:rsidR="000667E0">
        <w:t>figyelembe vételével</w:t>
      </w:r>
      <w:proofErr w:type="gramEnd"/>
      <w:r w:rsidR="000667E0">
        <w:t>.</w:t>
      </w:r>
    </w:p>
    <w:p w14:paraId="406C5E40" w14:textId="77777777" w:rsidR="00877D38" w:rsidRDefault="00877D38" w:rsidP="00C04E98">
      <w:pPr>
        <w:jc w:val="both"/>
      </w:pPr>
    </w:p>
    <w:p w14:paraId="18688782" w14:textId="77777777" w:rsidR="00877D38" w:rsidRDefault="001D4B94" w:rsidP="007A7486">
      <w:pPr>
        <w:jc w:val="both"/>
      </w:pPr>
      <w:r>
        <w:t xml:space="preserve">A </w:t>
      </w:r>
      <w:r w:rsidRPr="001D4B94">
        <w:rPr>
          <w:i/>
        </w:rPr>
        <w:t>kontrollkörnyezet</w:t>
      </w:r>
      <w:r>
        <w:t xml:space="preserve"> részét képezik a</w:t>
      </w:r>
      <w:r w:rsidR="00335967">
        <w:t xml:space="preserve"> belső</w:t>
      </w:r>
      <w:r>
        <w:t xml:space="preserve"> szabályzatok, helyi rendeletek</w:t>
      </w:r>
      <w:r w:rsidR="00335967">
        <w:t>.</w:t>
      </w:r>
      <w:r>
        <w:t xml:space="preserve"> A </w:t>
      </w:r>
      <w:r w:rsidR="007A7486">
        <w:t xml:space="preserve">témakörökhöz </w:t>
      </w:r>
      <w:r>
        <w:t>általában kapcsolódik belső szabályzat, melynek előírásai összevetésre kerülnek a gyakorlattal.</w:t>
      </w:r>
      <w:r w:rsidR="001B480F">
        <w:t xml:space="preserve"> </w:t>
      </w:r>
      <w:r w:rsidR="00F40ACC">
        <w:t>A szabályzatok a jogszabályi előírásoknak</w:t>
      </w:r>
      <w:r w:rsidR="007A7486">
        <w:t xml:space="preserve"> és a kialakított gyakorlatnak</w:t>
      </w:r>
      <w:r w:rsidR="00F40ACC">
        <w:t xml:space="preserve"> megfelelnek.</w:t>
      </w:r>
    </w:p>
    <w:p w14:paraId="7D2339EC" w14:textId="77777777" w:rsidR="002746C6" w:rsidRDefault="002746C6" w:rsidP="00C04E98">
      <w:pPr>
        <w:jc w:val="both"/>
      </w:pPr>
    </w:p>
    <w:p w14:paraId="4B721FAD" w14:textId="77777777" w:rsidR="00877D38" w:rsidRDefault="00335967" w:rsidP="007A7486">
      <w:pPr>
        <w:jc w:val="both"/>
      </w:pPr>
      <w:r>
        <w:t xml:space="preserve">A </w:t>
      </w:r>
      <w:r w:rsidRPr="00AE518D">
        <w:rPr>
          <w:i/>
        </w:rPr>
        <w:t>kockázatkezelés</w:t>
      </w:r>
      <w:r>
        <w:t xml:space="preserve"> során fel kell mérni és meg kell állapítani a költségvetési szerv tevékenységében, gazdálkodásában rejlő kockázatokat és meg kell határozni az egyes kockázattal kapcsolatban szükséges intézkedést.</w:t>
      </w:r>
      <w:r w:rsidR="00852F63">
        <w:t xml:space="preserve"> </w:t>
      </w:r>
      <w:r w:rsidR="00E818A9">
        <w:t>Az önkormányzat rendelkezik</w:t>
      </w:r>
      <w:r w:rsidR="007A7486">
        <w:t xml:space="preserve"> a Belső kontrollrendszer és integrált kockázatkezelési rendsz</w:t>
      </w:r>
      <w:r w:rsidR="00E818A9">
        <w:t>er működéséről szóló szabályzattal.</w:t>
      </w:r>
    </w:p>
    <w:p w14:paraId="7435FCF2" w14:textId="77777777" w:rsidR="007A7486" w:rsidRDefault="007A7486" w:rsidP="007A7486">
      <w:pPr>
        <w:jc w:val="both"/>
      </w:pPr>
    </w:p>
    <w:p w14:paraId="5635CC98" w14:textId="77777777" w:rsidR="00877D38" w:rsidRDefault="00852F63" w:rsidP="00C04E98">
      <w:pPr>
        <w:jc w:val="both"/>
      </w:pPr>
      <w:r>
        <w:t xml:space="preserve">A </w:t>
      </w:r>
      <w:r w:rsidRPr="00852F63">
        <w:rPr>
          <w:i/>
        </w:rPr>
        <w:t>kontrolltevékenység</w:t>
      </w:r>
      <w:r>
        <w:t xml:space="preserve"> részeként biztosítani kell a folyamatba épített, előzetes, utólagos és vezetői ellenőrzést. Ide tartozik a pénzügyi döntések dokumentumainak előkészítése</w:t>
      </w:r>
      <w:r w:rsidR="009C6390">
        <w:t>, az engedélyezési, jóváhagyási és beszámolási eljárás.</w:t>
      </w:r>
      <w:r w:rsidR="000F465B">
        <w:t xml:space="preserve"> A munkafolyamatba épített ellenőrzés során tapasztalható</w:t>
      </w:r>
      <w:r w:rsidR="0064147C">
        <w:t xml:space="preserve"> </w:t>
      </w:r>
      <w:r w:rsidR="00155E06">
        <w:t>hiányosság.</w:t>
      </w:r>
    </w:p>
    <w:p w14:paraId="68F6C6A5" w14:textId="77777777" w:rsidR="00E37295" w:rsidRPr="00E818A9" w:rsidRDefault="009C6390" w:rsidP="00E37295">
      <w:pPr>
        <w:jc w:val="both"/>
        <w:rPr>
          <w:i/>
        </w:rPr>
      </w:pPr>
      <w:r w:rsidRPr="0018688D">
        <w:rPr>
          <w:i/>
        </w:rPr>
        <w:lastRenderedPageBreak/>
        <w:t>Információs és kommunikációs rendszer:</w:t>
      </w:r>
      <w:r>
        <w:t xml:space="preserve"> a megfelelő információnak</w:t>
      </w:r>
      <w:r w:rsidR="0018688D">
        <w:t>,</w:t>
      </w:r>
      <w:r>
        <w:t xml:space="preserve"> a megfelelő időben történő eljutása </w:t>
      </w:r>
      <w:r w:rsidR="0018688D">
        <w:t xml:space="preserve">az illetékes személyhez, </w:t>
      </w:r>
      <w:r>
        <w:t>alapfeltétele a jó működésnek.</w:t>
      </w:r>
      <w:r w:rsidR="00877D38">
        <w:t xml:space="preserve"> </w:t>
      </w:r>
      <w:r w:rsidR="002746C6">
        <w:t xml:space="preserve">Nem </w:t>
      </w:r>
      <w:r w:rsidR="00E37295">
        <w:t xml:space="preserve">volt </w:t>
      </w:r>
      <w:r w:rsidR="00877D38">
        <w:t xml:space="preserve">megfelelő </w:t>
      </w:r>
      <w:r w:rsidR="000B6A97">
        <w:t>információáramlás</w:t>
      </w:r>
      <w:r w:rsidR="00877D38">
        <w:t xml:space="preserve"> és</w:t>
      </w:r>
      <w:r w:rsidR="002746C6">
        <w:t xml:space="preserve"> a</w:t>
      </w:r>
      <w:r w:rsidR="000B6A97">
        <w:t xml:space="preserve"> kommunikáció</w:t>
      </w:r>
      <w:r w:rsidR="00E37295">
        <w:t xml:space="preserve"> a hivatal és a költségvetési szervek között.</w:t>
      </w:r>
      <w:r w:rsidR="002746C6">
        <w:t xml:space="preserve"> </w:t>
      </w:r>
      <w:r w:rsidR="00E37295" w:rsidRPr="00E818A9">
        <w:rPr>
          <w:i/>
        </w:rPr>
        <w:t>A gazdasági csoport, a felsőbb vezetők és a</w:t>
      </w:r>
      <w:r w:rsidR="00E37295">
        <w:rPr>
          <w:i/>
        </w:rPr>
        <w:t xml:space="preserve"> költségvetési szervek </w:t>
      </w:r>
      <w:r w:rsidR="00E37295" w:rsidRPr="00E818A9">
        <w:rPr>
          <w:i/>
        </w:rPr>
        <w:t>vezető</w:t>
      </w:r>
      <w:r w:rsidR="00E37295">
        <w:rPr>
          <w:i/>
        </w:rPr>
        <w:t>i között az</w:t>
      </w:r>
      <w:r w:rsidR="00E37295" w:rsidRPr="00E818A9">
        <w:rPr>
          <w:i/>
        </w:rPr>
        <w:t xml:space="preserve"> információáramlást </w:t>
      </w:r>
      <w:r w:rsidR="00B468B4">
        <w:rPr>
          <w:i/>
        </w:rPr>
        <w:t>folyamatosan biztosítani</w:t>
      </w:r>
      <w:r w:rsidR="00E37295" w:rsidRPr="00E818A9">
        <w:rPr>
          <w:i/>
        </w:rPr>
        <w:t xml:space="preserve"> kell.</w:t>
      </w:r>
    </w:p>
    <w:p w14:paraId="5E2FA991" w14:textId="1200B3FB" w:rsidR="009C6390" w:rsidRDefault="002746C6" w:rsidP="00C04E98">
      <w:pPr>
        <w:jc w:val="both"/>
      </w:pPr>
      <w:r>
        <w:t>A</w:t>
      </w:r>
      <w:r w:rsidR="00DE0A83">
        <w:t xml:space="preserve"> Magyar </w:t>
      </w:r>
      <w:r w:rsidR="00477808">
        <w:t>Állam</w:t>
      </w:r>
      <w:r w:rsidR="00DE0A83">
        <w:t>k</w:t>
      </w:r>
      <w:r w:rsidR="00E818A9">
        <w:t xml:space="preserve">incstár felé a </w:t>
      </w:r>
      <w:r>
        <w:t xml:space="preserve">számviteli </w:t>
      </w:r>
      <w:r w:rsidR="00E37295">
        <w:t>információszolgáltatás</w:t>
      </w:r>
      <w:r>
        <w:t xml:space="preserve"> </w:t>
      </w:r>
      <w:r w:rsidR="00E37295">
        <w:t>egész</w:t>
      </w:r>
      <w:r w:rsidR="00FB4528">
        <w:t xml:space="preserve"> </w:t>
      </w:r>
      <w:r w:rsidR="00E37295">
        <w:t>évben</w:t>
      </w:r>
      <w:r w:rsidR="00FB4528">
        <w:t xml:space="preserve"> </w:t>
      </w:r>
      <w:r w:rsidR="007A7486">
        <w:t>megtörtént</w:t>
      </w:r>
      <w:r w:rsidR="00FB4528">
        <w:t xml:space="preserve"> határidőben</w:t>
      </w:r>
      <w:r>
        <w:t>.</w:t>
      </w:r>
      <w:r w:rsidR="00E818A9">
        <w:t xml:space="preserve"> </w:t>
      </w:r>
    </w:p>
    <w:p w14:paraId="658902A7" w14:textId="77777777" w:rsidR="00FB4528" w:rsidRPr="00E818A9" w:rsidRDefault="00FB4528" w:rsidP="00C04E98">
      <w:pPr>
        <w:jc w:val="both"/>
        <w:rPr>
          <w:i/>
        </w:rPr>
      </w:pPr>
    </w:p>
    <w:p w14:paraId="5437BED9" w14:textId="77777777" w:rsidR="00C85CC9" w:rsidRDefault="0018688D" w:rsidP="0087756C">
      <w:pPr>
        <w:tabs>
          <w:tab w:val="num" w:pos="180"/>
        </w:tabs>
        <w:jc w:val="both"/>
      </w:pPr>
      <w:r w:rsidRPr="0018688D">
        <w:rPr>
          <w:i/>
        </w:rPr>
        <w:t>A nyomon követési, monitoring rendszer</w:t>
      </w:r>
      <w:r>
        <w:t xml:space="preserve"> értékelési feladatát a belső ellenőr az utóellenőrzések során látja el.</w:t>
      </w:r>
      <w:r w:rsidR="000F1B87">
        <w:t xml:space="preserve"> Megállapítható, hogy az ellenőrzött intézmények esetében a szervezeti célok megvalósultak. A szűkös anyagi feltételek ellenére törekedtek a gazdaságosságra és a hatékonyságra.</w:t>
      </w:r>
      <w:r w:rsidR="002746C6">
        <w:t xml:space="preserve"> </w:t>
      </w:r>
    </w:p>
    <w:p w14:paraId="79A1602C" w14:textId="77777777" w:rsidR="00C85CC9" w:rsidRDefault="00C85CC9" w:rsidP="0087756C">
      <w:pPr>
        <w:tabs>
          <w:tab w:val="num" w:pos="180"/>
        </w:tabs>
        <w:jc w:val="both"/>
      </w:pPr>
    </w:p>
    <w:p w14:paraId="3EF373EB" w14:textId="77777777" w:rsidR="00DA34B1" w:rsidRPr="00282CF9" w:rsidRDefault="00043AFC" w:rsidP="00043AFC">
      <w:pPr>
        <w:pStyle w:val="Szvegtrzs2"/>
        <w:tabs>
          <w:tab w:val="num" w:pos="180"/>
        </w:tabs>
        <w:spacing w:before="0" w:after="0"/>
        <w:rPr>
          <w:rFonts w:ascii="Times New Roman" w:hAnsi="Times New Roman"/>
          <w:b/>
          <w:lang w:val="hu-HU"/>
        </w:rPr>
      </w:pPr>
      <w:r>
        <w:rPr>
          <w:rFonts w:ascii="Times New Roman" w:hAnsi="Times New Roman"/>
          <w:b/>
          <w:lang w:val="hu-HU"/>
        </w:rPr>
        <w:t xml:space="preserve">3. </w:t>
      </w:r>
      <w:r w:rsidR="00FC1A02" w:rsidRPr="00282CF9">
        <w:rPr>
          <w:rFonts w:ascii="Times New Roman" w:hAnsi="Times New Roman"/>
          <w:b/>
          <w:lang w:val="hu-HU"/>
        </w:rPr>
        <w:t>Intézkedési tervek, utóellenőrzés</w:t>
      </w:r>
    </w:p>
    <w:p w14:paraId="1CB2C2A2" w14:textId="77777777" w:rsidR="00E300E6" w:rsidRDefault="00E300E6" w:rsidP="00043AFC">
      <w:pPr>
        <w:tabs>
          <w:tab w:val="num" w:pos="180"/>
        </w:tabs>
        <w:jc w:val="both"/>
      </w:pPr>
    </w:p>
    <w:p w14:paraId="10E1868A" w14:textId="77777777" w:rsidR="00B47C7F" w:rsidRDefault="00E300E6" w:rsidP="00043AFC">
      <w:pPr>
        <w:tabs>
          <w:tab w:val="num" w:pos="180"/>
        </w:tabs>
        <w:jc w:val="both"/>
      </w:pPr>
      <w:r>
        <w:t>Az intézkedési tervekben meghatározott feladatokat</w:t>
      </w:r>
      <w:r w:rsidR="00334E45">
        <w:t xml:space="preserve"> szabályzatok vonatkozásában elvégezték</w:t>
      </w:r>
      <w:r w:rsidR="00FB4528">
        <w:t>.</w:t>
      </w:r>
      <w:r w:rsidR="00334E45">
        <w:t xml:space="preserve"> </w:t>
      </w:r>
      <w:r w:rsidR="00FB4528">
        <w:t xml:space="preserve">A </w:t>
      </w:r>
      <w:r w:rsidR="00334E45">
        <w:t>belső kontroll működésé</w:t>
      </w:r>
      <w:r w:rsidR="00FB4528">
        <w:t>t fokozni kell.</w:t>
      </w:r>
      <w:r w:rsidR="00B468B4">
        <w:t xml:space="preserve"> </w:t>
      </w:r>
      <w:r>
        <w:t xml:space="preserve"> </w:t>
      </w:r>
      <w:r w:rsidR="00B468B4">
        <w:t>A javaslat szerinti készpénz kímélő gazdálkodást nem hajtották végre a Roma önkormányzatnál.</w:t>
      </w:r>
    </w:p>
    <w:p w14:paraId="36F30CC3" w14:textId="77777777" w:rsidR="00B468B4" w:rsidRDefault="00B468B4" w:rsidP="00043AFC">
      <w:pPr>
        <w:tabs>
          <w:tab w:val="num" w:pos="180"/>
        </w:tabs>
        <w:jc w:val="both"/>
      </w:pPr>
    </w:p>
    <w:p w14:paraId="253D6A43" w14:textId="77777777" w:rsidR="00B468B4" w:rsidRDefault="00B468B4" w:rsidP="00043AFC">
      <w:pPr>
        <w:tabs>
          <w:tab w:val="num" w:pos="180"/>
        </w:tabs>
        <w:jc w:val="both"/>
      </w:pPr>
    </w:p>
    <w:p w14:paraId="40224283" w14:textId="77777777" w:rsidR="003E3D32" w:rsidRDefault="00AC0C5A" w:rsidP="00043AFC">
      <w:pPr>
        <w:tabs>
          <w:tab w:val="num" w:pos="180"/>
        </w:tabs>
        <w:jc w:val="both"/>
      </w:pPr>
      <w:r>
        <w:t>Gádoros</w:t>
      </w:r>
      <w:r w:rsidR="003E3D32">
        <w:t xml:space="preserve">, </w:t>
      </w:r>
      <w:r w:rsidR="00E818A9">
        <w:t>202</w:t>
      </w:r>
      <w:r w:rsidR="00B468B4">
        <w:t>5</w:t>
      </w:r>
      <w:r w:rsidR="00043AFC">
        <w:t xml:space="preserve">. </w:t>
      </w:r>
      <w:r w:rsidR="00FB4528">
        <w:t xml:space="preserve">május </w:t>
      </w:r>
      <w:r w:rsidR="00B468B4">
        <w:t>0</w:t>
      </w:r>
      <w:r w:rsidR="00651A77">
        <w:t>6</w:t>
      </w:r>
      <w:r w:rsidR="00043AFC">
        <w:t>.</w:t>
      </w:r>
    </w:p>
    <w:p w14:paraId="34B20A0F" w14:textId="61B6F6AA" w:rsidR="00B468B4" w:rsidRDefault="00E818A9" w:rsidP="00043AFC">
      <w:pPr>
        <w:tabs>
          <w:tab w:val="num" w:pos="18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D38A87C" w14:textId="77777777" w:rsidR="00B468B4" w:rsidRDefault="00B468B4" w:rsidP="00043AFC">
      <w:pPr>
        <w:tabs>
          <w:tab w:val="num" w:pos="180"/>
        </w:tabs>
        <w:jc w:val="both"/>
      </w:pPr>
    </w:p>
    <w:p w14:paraId="71A45803" w14:textId="77777777" w:rsidR="00E818A9" w:rsidRDefault="00E818A9" w:rsidP="00043AFC">
      <w:pPr>
        <w:tabs>
          <w:tab w:val="num" w:pos="180"/>
        </w:tabs>
        <w:jc w:val="both"/>
      </w:pPr>
      <w:r>
        <w:tab/>
        <w:t>Készítette:</w:t>
      </w:r>
    </w:p>
    <w:tbl>
      <w:tblPr>
        <w:tblStyle w:val="Rcsostblzat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  <w:gridCol w:w="4213"/>
      </w:tblGrid>
      <w:tr w:rsidR="006A6DEE" w14:paraId="5D92923C" w14:textId="77777777" w:rsidTr="00E818A9">
        <w:tc>
          <w:tcPr>
            <w:tcW w:w="4139" w:type="dxa"/>
          </w:tcPr>
          <w:p w14:paraId="48D1696B" w14:textId="77777777" w:rsidR="006A6DEE" w:rsidRDefault="008E6B35" w:rsidP="00E818A9">
            <w:pPr>
              <w:jc w:val="both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213" w:type="dxa"/>
          </w:tcPr>
          <w:p w14:paraId="24C6114E" w14:textId="77777777" w:rsidR="006A6DEE" w:rsidRDefault="006A6DEE" w:rsidP="006A6DEE">
            <w:pPr>
              <w:jc w:val="center"/>
            </w:pPr>
            <w:r>
              <w:t>Haklik Józsefné</w:t>
            </w:r>
          </w:p>
        </w:tc>
      </w:tr>
      <w:tr w:rsidR="006A6DEE" w14:paraId="05468385" w14:textId="77777777" w:rsidTr="00E818A9">
        <w:tc>
          <w:tcPr>
            <w:tcW w:w="4139" w:type="dxa"/>
          </w:tcPr>
          <w:p w14:paraId="5B00EAC7" w14:textId="77777777" w:rsidR="006A6DEE" w:rsidRDefault="006A6DEE" w:rsidP="00C1743F">
            <w:pPr>
              <w:jc w:val="both"/>
            </w:pPr>
          </w:p>
        </w:tc>
        <w:tc>
          <w:tcPr>
            <w:tcW w:w="4213" w:type="dxa"/>
          </w:tcPr>
          <w:p w14:paraId="4D3BAC1C" w14:textId="77777777" w:rsidR="006A6DEE" w:rsidRDefault="006A6DEE" w:rsidP="006A6DEE">
            <w:pPr>
              <w:jc w:val="center"/>
            </w:pPr>
            <w:r>
              <w:t>belső ellenőr</w:t>
            </w:r>
          </w:p>
        </w:tc>
      </w:tr>
    </w:tbl>
    <w:p w14:paraId="7D303485" w14:textId="77777777" w:rsidR="00644DA4" w:rsidRDefault="00644DA4" w:rsidP="00FB4528">
      <w:pPr>
        <w:jc w:val="both"/>
      </w:pPr>
    </w:p>
    <w:sectPr w:rsidR="00644DA4" w:rsidSect="00FC1A02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259C5" w14:textId="77777777" w:rsidR="00505422" w:rsidRDefault="00505422">
      <w:r>
        <w:separator/>
      </w:r>
    </w:p>
  </w:endnote>
  <w:endnote w:type="continuationSeparator" w:id="0">
    <w:p w14:paraId="2ECC3B6B" w14:textId="77777777" w:rsidR="00505422" w:rsidRDefault="00505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821D4" w14:textId="77777777" w:rsidR="00260C5D" w:rsidRDefault="00EA50AA" w:rsidP="009A48D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260C5D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F46BC14" w14:textId="77777777" w:rsidR="00260C5D" w:rsidRDefault="00260C5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077CF" w14:textId="77777777" w:rsidR="00260C5D" w:rsidRDefault="00EA50AA" w:rsidP="009A48D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260C5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51A77">
      <w:rPr>
        <w:rStyle w:val="Oldalszm"/>
        <w:noProof/>
      </w:rPr>
      <w:t>8</w:t>
    </w:r>
    <w:r>
      <w:rPr>
        <w:rStyle w:val="Oldalszm"/>
      </w:rPr>
      <w:fldChar w:fldCharType="end"/>
    </w:r>
  </w:p>
  <w:p w14:paraId="10011612" w14:textId="77777777" w:rsidR="00260C5D" w:rsidRDefault="00260C5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2CF49" w14:textId="77777777" w:rsidR="00505422" w:rsidRDefault="00505422">
      <w:r>
        <w:separator/>
      </w:r>
    </w:p>
  </w:footnote>
  <w:footnote w:type="continuationSeparator" w:id="0">
    <w:p w14:paraId="782692A2" w14:textId="77777777" w:rsidR="00505422" w:rsidRDefault="00505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89A84" w14:textId="77777777" w:rsidR="00260C5D" w:rsidRDefault="00260C5D" w:rsidP="008C0AE7">
    <w:pPr>
      <w:pStyle w:val="lfej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D7486" w14:textId="77777777" w:rsidR="00260C5D" w:rsidRDefault="00260C5D" w:rsidP="00DC6086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5734D"/>
    <w:multiLevelType w:val="hybridMultilevel"/>
    <w:tmpl w:val="3970DE3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AA2DCA"/>
    <w:multiLevelType w:val="hybridMultilevel"/>
    <w:tmpl w:val="9BF2092C"/>
    <w:lvl w:ilvl="0" w:tplc="C8E47F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7192C"/>
    <w:multiLevelType w:val="hybridMultilevel"/>
    <w:tmpl w:val="15AA7F32"/>
    <w:lvl w:ilvl="0" w:tplc="040E0003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97149"/>
    <w:multiLevelType w:val="hybridMultilevel"/>
    <w:tmpl w:val="92BA5FA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174B02"/>
    <w:multiLevelType w:val="hybridMultilevel"/>
    <w:tmpl w:val="9A7ADF18"/>
    <w:lvl w:ilvl="0" w:tplc="FFFFFFFF">
      <w:start w:val="1"/>
      <w:numFmt w:val="bullet"/>
      <w:lvlText w:val=""/>
      <w:legacy w:legacy="1" w:legacySpace="0" w:legacyIndent="360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E1521"/>
    <w:multiLevelType w:val="hybridMultilevel"/>
    <w:tmpl w:val="C7B89070"/>
    <w:lvl w:ilvl="0" w:tplc="DB26EE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5C33B9"/>
    <w:multiLevelType w:val="hybridMultilevel"/>
    <w:tmpl w:val="95FA22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04C86"/>
    <w:multiLevelType w:val="hybridMultilevel"/>
    <w:tmpl w:val="F51860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044FAD"/>
    <w:multiLevelType w:val="hybridMultilevel"/>
    <w:tmpl w:val="E648E5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F5730"/>
    <w:multiLevelType w:val="hybridMultilevel"/>
    <w:tmpl w:val="61B0F7E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05B6B2A"/>
    <w:multiLevelType w:val="hybridMultilevel"/>
    <w:tmpl w:val="5D16942C"/>
    <w:lvl w:ilvl="0" w:tplc="C8E47F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C273E"/>
    <w:multiLevelType w:val="hybridMultilevel"/>
    <w:tmpl w:val="82A46A08"/>
    <w:lvl w:ilvl="0" w:tplc="A0BCD4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407BC"/>
    <w:multiLevelType w:val="hybridMultilevel"/>
    <w:tmpl w:val="CCD214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9E015C"/>
    <w:multiLevelType w:val="hybridMultilevel"/>
    <w:tmpl w:val="22D47D64"/>
    <w:lvl w:ilvl="0" w:tplc="040E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454776"/>
    <w:multiLevelType w:val="hybridMultilevel"/>
    <w:tmpl w:val="06F07A80"/>
    <w:lvl w:ilvl="0" w:tplc="040E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B71E70"/>
    <w:multiLevelType w:val="hybridMultilevel"/>
    <w:tmpl w:val="139A7CC4"/>
    <w:lvl w:ilvl="0" w:tplc="3802FDBE">
      <w:start w:val="1"/>
      <w:numFmt w:val="decimal"/>
      <w:lvlText w:val="%1.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683D91"/>
    <w:multiLevelType w:val="hybridMultilevel"/>
    <w:tmpl w:val="41C47322"/>
    <w:lvl w:ilvl="0" w:tplc="040E000B">
      <w:start w:val="1"/>
      <w:numFmt w:val="bullet"/>
      <w:lvlText w:val=""/>
      <w:lvlJc w:val="left"/>
      <w:pPr>
        <w:tabs>
          <w:tab w:val="num" w:pos="787"/>
        </w:tabs>
        <w:ind w:left="7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768928A3"/>
    <w:multiLevelType w:val="hybridMultilevel"/>
    <w:tmpl w:val="F8D25306"/>
    <w:lvl w:ilvl="0" w:tplc="6322A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0A5E8A">
      <w:numFmt w:val="none"/>
      <w:lvlText w:val=""/>
      <w:lvlJc w:val="left"/>
      <w:pPr>
        <w:tabs>
          <w:tab w:val="num" w:pos="360"/>
        </w:tabs>
      </w:pPr>
    </w:lvl>
    <w:lvl w:ilvl="2" w:tplc="32A2F7C0">
      <w:numFmt w:val="none"/>
      <w:lvlText w:val=""/>
      <w:lvlJc w:val="left"/>
      <w:pPr>
        <w:tabs>
          <w:tab w:val="num" w:pos="360"/>
        </w:tabs>
      </w:pPr>
    </w:lvl>
    <w:lvl w:ilvl="3" w:tplc="10E0BB76">
      <w:numFmt w:val="none"/>
      <w:lvlText w:val=""/>
      <w:lvlJc w:val="left"/>
      <w:pPr>
        <w:tabs>
          <w:tab w:val="num" w:pos="360"/>
        </w:tabs>
      </w:pPr>
    </w:lvl>
    <w:lvl w:ilvl="4" w:tplc="401AA7F2">
      <w:numFmt w:val="none"/>
      <w:lvlText w:val=""/>
      <w:lvlJc w:val="left"/>
      <w:pPr>
        <w:tabs>
          <w:tab w:val="num" w:pos="360"/>
        </w:tabs>
      </w:pPr>
    </w:lvl>
    <w:lvl w:ilvl="5" w:tplc="5FEEC5B4">
      <w:numFmt w:val="none"/>
      <w:lvlText w:val=""/>
      <w:lvlJc w:val="left"/>
      <w:pPr>
        <w:tabs>
          <w:tab w:val="num" w:pos="360"/>
        </w:tabs>
      </w:pPr>
    </w:lvl>
    <w:lvl w:ilvl="6" w:tplc="FDD0C00C">
      <w:numFmt w:val="none"/>
      <w:lvlText w:val=""/>
      <w:lvlJc w:val="left"/>
      <w:pPr>
        <w:tabs>
          <w:tab w:val="num" w:pos="360"/>
        </w:tabs>
      </w:pPr>
    </w:lvl>
    <w:lvl w:ilvl="7" w:tplc="364C7EE0">
      <w:numFmt w:val="none"/>
      <w:lvlText w:val=""/>
      <w:lvlJc w:val="left"/>
      <w:pPr>
        <w:tabs>
          <w:tab w:val="num" w:pos="360"/>
        </w:tabs>
      </w:pPr>
    </w:lvl>
    <w:lvl w:ilvl="8" w:tplc="E7F2E0A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77A01072"/>
    <w:multiLevelType w:val="hybridMultilevel"/>
    <w:tmpl w:val="2DC678AA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7D796760"/>
    <w:multiLevelType w:val="hybridMultilevel"/>
    <w:tmpl w:val="143800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296713">
    <w:abstractNumId w:val="14"/>
  </w:num>
  <w:num w:numId="2" w16cid:durableId="626400927">
    <w:abstractNumId w:val="12"/>
  </w:num>
  <w:num w:numId="3" w16cid:durableId="163009991">
    <w:abstractNumId w:val="7"/>
  </w:num>
  <w:num w:numId="4" w16cid:durableId="1420833772">
    <w:abstractNumId w:val="13"/>
  </w:num>
  <w:num w:numId="5" w16cid:durableId="101726709">
    <w:abstractNumId w:val="3"/>
  </w:num>
  <w:num w:numId="6" w16cid:durableId="194000748">
    <w:abstractNumId w:val="11"/>
  </w:num>
  <w:num w:numId="7" w16cid:durableId="72900186">
    <w:abstractNumId w:val="4"/>
  </w:num>
  <w:num w:numId="8" w16cid:durableId="677971988">
    <w:abstractNumId w:val="16"/>
  </w:num>
  <w:num w:numId="9" w16cid:durableId="1449349018">
    <w:abstractNumId w:val="1"/>
  </w:num>
  <w:num w:numId="10" w16cid:durableId="51471463">
    <w:abstractNumId w:val="15"/>
  </w:num>
  <w:num w:numId="11" w16cid:durableId="1049500697">
    <w:abstractNumId w:val="17"/>
  </w:num>
  <w:num w:numId="12" w16cid:durableId="1819418707">
    <w:abstractNumId w:val="5"/>
  </w:num>
  <w:num w:numId="13" w16cid:durableId="841434635">
    <w:abstractNumId w:val="10"/>
  </w:num>
  <w:num w:numId="14" w16cid:durableId="904755304">
    <w:abstractNumId w:val="9"/>
  </w:num>
  <w:num w:numId="15" w16cid:durableId="1524705271">
    <w:abstractNumId w:val="2"/>
  </w:num>
  <w:num w:numId="16" w16cid:durableId="1744718093">
    <w:abstractNumId w:val="18"/>
  </w:num>
  <w:num w:numId="17" w16cid:durableId="1348018537">
    <w:abstractNumId w:val="19"/>
  </w:num>
  <w:num w:numId="18" w16cid:durableId="1349600091">
    <w:abstractNumId w:val="0"/>
  </w:num>
  <w:num w:numId="19" w16cid:durableId="1054812313">
    <w:abstractNumId w:val="8"/>
  </w:num>
  <w:num w:numId="20" w16cid:durableId="10874602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activeWritingStyle w:appName="MSWord" w:lang="en-US" w:vendorID="64" w:dllVersion="6" w:nlCheck="1" w:checkStyle="0"/>
  <w:activeWritingStyle w:appName="MSWord" w:lang="hu-H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DDA"/>
    <w:rsid w:val="0001288D"/>
    <w:rsid w:val="00025B9D"/>
    <w:rsid w:val="000406DF"/>
    <w:rsid w:val="00043AFC"/>
    <w:rsid w:val="000513C0"/>
    <w:rsid w:val="000667E0"/>
    <w:rsid w:val="00070F8F"/>
    <w:rsid w:val="00077286"/>
    <w:rsid w:val="00085449"/>
    <w:rsid w:val="00091806"/>
    <w:rsid w:val="00091E2F"/>
    <w:rsid w:val="000972EE"/>
    <w:rsid w:val="000B05E0"/>
    <w:rsid w:val="000B6A97"/>
    <w:rsid w:val="000B6DAD"/>
    <w:rsid w:val="000B72D6"/>
    <w:rsid w:val="000D6B6F"/>
    <w:rsid w:val="000E07FF"/>
    <w:rsid w:val="000E54C5"/>
    <w:rsid w:val="000F1B87"/>
    <w:rsid w:val="000F465B"/>
    <w:rsid w:val="00101590"/>
    <w:rsid w:val="00104B9C"/>
    <w:rsid w:val="00105724"/>
    <w:rsid w:val="00115115"/>
    <w:rsid w:val="00116FA5"/>
    <w:rsid w:val="001310E7"/>
    <w:rsid w:val="00140293"/>
    <w:rsid w:val="00155E06"/>
    <w:rsid w:val="001620AB"/>
    <w:rsid w:val="00166FA3"/>
    <w:rsid w:val="001702A1"/>
    <w:rsid w:val="00170690"/>
    <w:rsid w:val="00170DDB"/>
    <w:rsid w:val="0017163D"/>
    <w:rsid w:val="00171D57"/>
    <w:rsid w:val="001724BB"/>
    <w:rsid w:val="001822F4"/>
    <w:rsid w:val="0018688D"/>
    <w:rsid w:val="001938DC"/>
    <w:rsid w:val="00197DE0"/>
    <w:rsid w:val="001A049D"/>
    <w:rsid w:val="001A57CE"/>
    <w:rsid w:val="001A7E37"/>
    <w:rsid w:val="001B2A1B"/>
    <w:rsid w:val="001B480F"/>
    <w:rsid w:val="001B49D3"/>
    <w:rsid w:val="001D4B94"/>
    <w:rsid w:val="001E65CC"/>
    <w:rsid w:val="001F2496"/>
    <w:rsid w:val="001F5E2C"/>
    <w:rsid w:val="001F669B"/>
    <w:rsid w:val="00205AB5"/>
    <w:rsid w:val="00213E6F"/>
    <w:rsid w:val="002260D1"/>
    <w:rsid w:val="002314BD"/>
    <w:rsid w:val="00235F90"/>
    <w:rsid w:val="002366D9"/>
    <w:rsid w:val="00242735"/>
    <w:rsid w:val="00243752"/>
    <w:rsid w:val="0025156D"/>
    <w:rsid w:val="00257EBB"/>
    <w:rsid w:val="00260C5D"/>
    <w:rsid w:val="00264658"/>
    <w:rsid w:val="0027359C"/>
    <w:rsid w:val="002746C6"/>
    <w:rsid w:val="00275245"/>
    <w:rsid w:val="00281136"/>
    <w:rsid w:val="00282C03"/>
    <w:rsid w:val="00282CF9"/>
    <w:rsid w:val="002875F4"/>
    <w:rsid w:val="00293350"/>
    <w:rsid w:val="002A12DC"/>
    <w:rsid w:val="002A22CA"/>
    <w:rsid w:val="002A3E96"/>
    <w:rsid w:val="002A505D"/>
    <w:rsid w:val="002B1EE3"/>
    <w:rsid w:val="002C1DA7"/>
    <w:rsid w:val="002D4B1C"/>
    <w:rsid w:val="002E35C5"/>
    <w:rsid w:val="002F642A"/>
    <w:rsid w:val="00304200"/>
    <w:rsid w:val="003049D5"/>
    <w:rsid w:val="00305CED"/>
    <w:rsid w:val="00305CFB"/>
    <w:rsid w:val="00306F5D"/>
    <w:rsid w:val="00311D28"/>
    <w:rsid w:val="00315512"/>
    <w:rsid w:val="003219F7"/>
    <w:rsid w:val="00333ABD"/>
    <w:rsid w:val="00334E45"/>
    <w:rsid w:val="00335967"/>
    <w:rsid w:val="00367D27"/>
    <w:rsid w:val="00370878"/>
    <w:rsid w:val="00373676"/>
    <w:rsid w:val="003915AC"/>
    <w:rsid w:val="00393501"/>
    <w:rsid w:val="003A690B"/>
    <w:rsid w:val="003A6C39"/>
    <w:rsid w:val="003C250C"/>
    <w:rsid w:val="003E3D32"/>
    <w:rsid w:val="003F2A6F"/>
    <w:rsid w:val="003F77A3"/>
    <w:rsid w:val="004109E7"/>
    <w:rsid w:val="004148A2"/>
    <w:rsid w:val="00416075"/>
    <w:rsid w:val="00426E24"/>
    <w:rsid w:val="004476D9"/>
    <w:rsid w:val="00473F10"/>
    <w:rsid w:val="00474A0D"/>
    <w:rsid w:val="00477808"/>
    <w:rsid w:val="0048598B"/>
    <w:rsid w:val="00485E68"/>
    <w:rsid w:val="004873F1"/>
    <w:rsid w:val="00487FFB"/>
    <w:rsid w:val="0049136B"/>
    <w:rsid w:val="00494C1F"/>
    <w:rsid w:val="00497667"/>
    <w:rsid w:val="004B416D"/>
    <w:rsid w:val="004B6DDA"/>
    <w:rsid w:val="004B7CA3"/>
    <w:rsid w:val="004C3097"/>
    <w:rsid w:val="004C3A60"/>
    <w:rsid w:val="004C7C90"/>
    <w:rsid w:val="004D11B3"/>
    <w:rsid w:val="004F5525"/>
    <w:rsid w:val="00500E50"/>
    <w:rsid w:val="00505422"/>
    <w:rsid w:val="0051739E"/>
    <w:rsid w:val="005219F0"/>
    <w:rsid w:val="00521B42"/>
    <w:rsid w:val="00533E04"/>
    <w:rsid w:val="0053498B"/>
    <w:rsid w:val="005367B7"/>
    <w:rsid w:val="005476C3"/>
    <w:rsid w:val="00562A12"/>
    <w:rsid w:val="00566922"/>
    <w:rsid w:val="00570812"/>
    <w:rsid w:val="005A7716"/>
    <w:rsid w:val="005B3B08"/>
    <w:rsid w:val="005C675F"/>
    <w:rsid w:val="005D2E09"/>
    <w:rsid w:val="005F05AC"/>
    <w:rsid w:val="005F522A"/>
    <w:rsid w:val="00600CF9"/>
    <w:rsid w:val="006035F4"/>
    <w:rsid w:val="0062113D"/>
    <w:rsid w:val="006265E0"/>
    <w:rsid w:val="00627BED"/>
    <w:rsid w:val="006321AD"/>
    <w:rsid w:val="0064147C"/>
    <w:rsid w:val="00643D7E"/>
    <w:rsid w:val="00644DA4"/>
    <w:rsid w:val="00651A77"/>
    <w:rsid w:val="006662A7"/>
    <w:rsid w:val="00675F96"/>
    <w:rsid w:val="00682401"/>
    <w:rsid w:val="00684FFC"/>
    <w:rsid w:val="00685021"/>
    <w:rsid w:val="00686BAB"/>
    <w:rsid w:val="0069691F"/>
    <w:rsid w:val="006A55D4"/>
    <w:rsid w:val="006A6DEE"/>
    <w:rsid w:val="006B6E4E"/>
    <w:rsid w:val="006B72E6"/>
    <w:rsid w:val="006D2EC4"/>
    <w:rsid w:val="006D4785"/>
    <w:rsid w:val="006E1CEC"/>
    <w:rsid w:val="006F07A8"/>
    <w:rsid w:val="007014E1"/>
    <w:rsid w:val="00707632"/>
    <w:rsid w:val="007132BB"/>
    <w:rsid w:val="007250B1"/>
    <w:rsid w:val="007329BB"/>
    <w:rsid w:val="00733736"/>
    <w:rsid w:val="0074170F"/>
    <w:rsid w:val="00743300"/>
    <w:rsid w:val="00744DF0"/>
    <w:rsid w:val="00747699"/>
    <w:rsid w:val="00750776"/>
    <w:rsid w:val="007654FA"/>
    <w:rsid w:val="007660A6"/>
    <w:rsid w:val="00766AB2"/>
    <w:rsid w:val="007807A8"/>
    <w:rsid w:val="0078407F"/>
    <w:rsid w:val="00787AD2"/>
    <w:rsid w:val="00792E86"/>
    <w:rsid w:val="007A577F"/>
    <w:rsid w:val="007A7486"/>
    <w:rsid w:val="007B1188"/>
    <w:rsid w:val="007C4623"/>
    <w:rsid w:val="007C6F2E"/>
    <w:rsid w:val="007C7040"/>
    <w:rsid w:val="007D6527"/>
    <w:rsid w:val="007E0937"/>
    <w:rsid w:val="007E2D47"/>
    <w:rsid w:val="007E5EDA"/>
    <w:rsid w:val="007E78F8"/>
    <w:rsid w:val="007F4220"/>
    <w:rsid w:val="00800093"/>
    <w:rsid w:val="00800D19"/>
    <w:rsid w:val="00807815"/>
    <w:rsid w:val="008115D7"/>
    <w:rsid w:val="0081636A"/>
    <w:rsid w:val="00817A87"/>
    <w:rsid w:val="00830C2F"/>
    <w:rsid w:val="00831C05"/>
    <w:rsid w:val="00836C8E"/>
    <w:rsid w:val="00847D62"/>
    <w:rsid w:val="00852F63"/>
    <w:rsid w:val="008645C0"/>
    <w:rsid w:val="00871030"/>
    <w:rsid w:val="0087756C"/>
    <w:rsid w:val="00877D38"/>
    <w:rsid w:val="00890BD4"/>
    <w:rsid w:val="00892340"/>
    <w:rsid w:val="00895CEF"/>
    <w:rsid w:val="0089684E"/>
    <w:rsid w:val="00896980"/>
    <w:rsid w:val="008B42E1"/>
    <w:rsid w:val="008B7453"/>
    <w:rsid w:val="008C00BB"/>
    <w:rsid w:val="008C0AE7"/>
    <w:rsid w:val="008C2710"/>
    <w:rsid w:val="008C4486"/>
    <w:rsid w:val="008D1BCE"/>
    <w:rsid w:val="008D6331"/>
    <w:rsid w:val="008D6715"/>
    <w:rsid w:val="008D7AEC"/>
    <w:rsid w:val="008E6B35"/>
    <w:rsid w:val="008F4902"/>
    <w:rsid w:val="008F5206"/>
    <w:rsid w:val="00900CEE"/>
    <w:rsid w:val="00912051"/>
    <w:rsid w:val="00915B6D"/>
    <w:rsid w:val="00925E78"/>
    <w:rsid w:val="00940EAE"/>
    <w:rsid w:val="00941F2B"/>
    <w:rsid w:val="00955D28"/>
    <w:rsid w:val="0096074B"/>
    <w:rsid w:val="00960B66"/>
    <w:rsid w:val="00963C97"/>
    <w:rsid w:val="009645C8"/>
    <w:rsid w:val="009670AF"/>
    <w:rsid w:val="009715D2"/>
    <w:rsid w:val="00982B61"/>
    <w:rsid w:val="00996406"/>
    <w:rsid w:val="009A4677"/>
    <w:rsid w:val="009A48D7"/>
    <w:rsid w:val="009A5A7D"/>
    <w:rsid w:val="009A5AB9"/>
    <w:rsid w:val="009B2041"/>
    <w:rsid w:val="009B248C"/>
    <w:rsid w:val="009C1284"/>
    <w:rsid w:val="009C3ED3"/>
    <w:rsid w:val="009C6390"/>
    <w:rsid w:val="009C6F4A"/>
    <w:rsid w:val="009E372E"/>
    <w:rsid w:val="009F0EE0"/>
    <w:rsid w:val="009F5966"/>
    <w:rsid w:val="00A236FD"/>
    <w:rsid w:val="00A25443"/>
    <w:rsid w:val="00A441FE"/>
    <w:rsid w:val="00A50563"/>
    <w:rsid w:val="00A5177C"/>
    <w:rsid w:val="00A55916"/>
    <w:rsid w:val="00A55A93"/>
    <w:rsid w:val="00A74021"/>
    <w:rsid w:val="00A7687D"/>
    <w:rsid w:val="00AC0C5A"/>
    <w:rsid w:val="00AC151B"/>
    <w:rsid w:val="00AD55EE"/>
    <w:rsid w:val="00AD63C9"/>
    <w:rsid w:val="00AD6AEE"/>
    <w:rsid w:val="00AE0D8F"/>
    <w:rsid w:val="00AE518D"/>
    <w:rsid w:val="00AF4480"/>
    <w:rsid w:val="00AF624F"/>
    <w:rsid w:val="00AF6BCF"/>
    <w:rsid w:val="00B13474"/>
    <w:rsid w:val="00B13600"/>
    <w:rsid w:val="00B136AE"/>
    <w:rsid w:val="00B1524A"/>
    <w:rsid w:val="00B32B92"/>
    <w:rsid w:val="00B3725A"/>
    <w:rsid w:val="00B468B4"/>
    <w:rsid w:val="00B47C7F"/>
    <w:rsid w:val="00B503BF"/>
    <w:rsid w:val="00B51AF0"/>
    <w:rsid w:val="00B622A7"/>
    <w:rsid w:val="00B753CD"/>
    <w:rsid w:val="00B81920"/>
    <w:rsid w:val="00B83920"/>
    <w:rsid w:val="00B84612"/>
    <w:rsid w:val="00B9134B"/>
    <w:rsid w:val="00B920C9"/>
    <w:rsid w:val="00B9613E"/>
    <w:rsid w:val="00BB53ED"/>
    <w:rsid w:val="00BB7BDC"/>
    <w:rsid w:val="00BD4595"/>
    <w:rsid w:val="00BE35F9"/>
    <w:rsid w:val="00BE5E98"/>
    <w:rsid w:val="00C04E98"/>
    <w:rsid w:val="00C07F9A"/>
    <w:rsid w:val="00C16F02"/>
    <w:rsid w:val="00C1743F"/>
    <w:rsid w:val="00C22A2E"/>
    <w:rsid w:val="00C22FCE"/>
    <w:rsid w:val="00C32883"/>
    <w:rsid w:val="00C335C5"/>
    <w:rsid w:val="00C3441B"/>
    <w:rsid w:val="00C34BA8"/>
    <w:rsid w:val="00C43A3B"/>
    <w:rsid w:val="00C446C8"/>
    <w:rsid w:val="00C45099"/>
    <w:rsid w:val="00C57F85"/>
    <w:rsid w:val="00C61225"/>
    <w:rsid w:val="00C62C24"/>
    <w:rsid w:val="00C85CC9"/>
    <w:rsid w:val="00C86E74"/>
    <w:rsid w:val="00C93C09"/>
    <w:rsid w:val="00CB487F"/>
    <w:rsid w:val="00CC1A7F"/>
    <w:rsid w:val="00CC2285"/>
    <w:rsid w:val="00CC2C5C"/>
    <w:rsid w:val="00CD1B30"/>
    <w:rsid w:val="00CD4F99"/>
    <w:rsid w:val="00CD6014"/>
    <w:rsid w:val="00CE21F8"/>
    <w:rsid w:val="00CF0033"/>
    <w:rsid w:val="00D063AE"/>
    <w:rsid w:val="00D1119A"/>
    <w:rsid w:val="00D168D3"/>
    <w:rsid w:val="00D413FD"/>
    <w:rsid w:val="00D50333"/>
    <w:rsid w:val="00D50773"/>
    <w:rsid w:val="00D512C0"/>
    <w:rsid w:val="00D54ABB"/>
    <w:rsid w:val="00D57C06"/>
    <w:rsid w:val="00D66D30"/>
    <w:rsid w:val="00D90B04"/>
    <w:rsid w:val="00D9265B"/>
    <w:rsid w:val="00D93874"/>
    <w:rsid w:val="00D96541"/>
    <w:rsid w:val="00DA34B1"/>
    <w:rsid w:val="00DB1068"/>
    <w:rsid w:val="00DC1567"/>
    <w:rsid w:val="00DC1A7F"/>
    <w:rsid w:val="00DC4AC5"/>
    <w:rsid w:val="00DC6086"/>
    <w:rsid w:val="00DD6F03"/>
    <w:rsid w:val="00DE0A83"/>
    <w:rsid w:val="00DE23DE"/>
    <w:rsid w:val="00DF5C2E"/>
    <w:rsid w:val="00E300E6"/>
    <w:rsid w:val="00E3222B"/>
    <w:rsid w:val="00E3483E"/>
    <w:rsid w:val="00E37295"/>
    <w:rsid w:val="00E50679"/>
    <w:rsid w:val="00E72202"/>
    <w:rsid w:val="00E80B39"/>
    <w:rsid w:val="00E818A9"/>
    <w:rsid w:val="00E838B4"/>
    <w:rsid w:val="00E866C4"/>
    <w:rsid w:val="00E87992"/>
    <w:rsid w:val="00E95524"/>
    <w:rsid w:val="00E95861"/>
    <w:rsid w:val="00EA0E63"/>
    <w:rsid w:val="00EA50AA"/>
    <w:rsid w:val="00EB0D10"/>
    <w:rsid w:val="00EB2FCC"/>
    <w:rsid w:val="00EC5904"/>
    <w:rsid w:val="00ED32CD"/>
    <w:rsid w:val="00ED44B4"/>
    <w:rsid w:val="00ED5E63"/>
    <w:rsid w:val="00EE49DD"/>
    <w:rsid w:val="00EE714D"/>
    <w:rsid w:val="00EF04B2"/>
    <w:rsid w:val="00F0260A"/>
    <w:rsid w:val="00F217AA"/>
    <w:rsid w:val="00F30634"/>
    <w:rsid w:val="00F37F8F"/>
    <w:rsid w:val="00F40ACC"/>
    <w:rsid w:val="00F54890"/>
    <w:rsid w:val="00F61B3C"/>
    <w:rsid w:val="00F70A9E"/>
    <w:rsid w:val="00F86958"/>
    <w:rsid w:val="00F93B81"/>
    <w:rsid w:val="00FA3684"/>
    <w:rsid w:val="00FA4D12"/>
    <w:rsid w:val="00FA5A24"/>
    <w:rsid w:val="00FB4528"/>
    <w:rsid w:val="00FB65AC"/>
    <w:rsid w:val="00FC1A02"/>
    <w:rsid w:val="00FC4FCF"/>
    <w:rsid w:val="00FC5893"/>
    <w:rsid w:val="00FD26B4"/>
    <w:rsid w:val="00FE7EE0"/>
    <w:rsid w:val="00FF4CB4"/>
    <w:rsid w:val="00FF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6F6356"/>
  <w15:docId w15:val="{A3FBA238-3DE6-481B-A6A4-3F7D5B8DC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9C6F4A"/>
    <w:rPr>
      <w:sz w:val="24"/>
      <w:szCs w:val="24"/>
    </w:rPr>
  </w:style>
  <w:style w:type="paragraph" w:styleId="Cmsor5">
    <w:name w:val="heading 5"/>
    <w:basedOn w:val="Norml"/>
    <w:link w:val="Cmsor5Char"/>
    <w:uiPriority w:val="9"/>
    <w:qFormat/>
    <w:rsid w:val="00ED44B4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rsid w:val="00F54890"/>
    <w:pPr>
      <w:spacing w:before="120" w:after="120"/>
      <w:jc w:val="both"/>
    </w:pPr>
    <w:rPr>
      <w:rFonts w:ascii="Arial Narrow" w:hAnsi="Arial Narrow"/>
      <w:lang w:val="en-US"/>
    </w:rPr>
  </w:style>
  <w:style w:type="paragraph" w:styleId="lfej">
    <w:name w:val="header"/>
    <w:basedOn w:val="Norml"/>
    <w:rsid w:val="008C0AE7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C0AE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C1A02"/>
  </w:style>
  <w:style w:type="table" w:styleId="Rcsostblzat">
    <w:name w:val="Table Grid"/>
    <w:basedOn w:val="Normltblzat"/>
    <w:uiPriority w:val="59"/>
    <w:rsid w:val="008E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Char">
    <w:name w:val="Char Char Char Char Char Char Char Char Char Char Char Char Char Char Char Char Char Char Char Char"/>
    <w:basedOn w:val="Norml"/>
    <w:rsid w:val="00025B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3A690B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rsid w:val="00205AB5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205AB5"/>
    <w:rPr>
      <w:sz w:val="24"/>
      <w:szCs w:val="24"/>
    </w:rPr>
  </w:style>
  <w:style w:type="paragraph" w:styleId="NormlWeb">
    <w:name w:val="Normal (Web)"/>
    <w:basedOn w:val="Norml"/>
    <w:uiPriority w:val="99"/>
    <w:rsid w:val="00895CEF"/>
    <w:pPr>
      <w:spacing w:before="100" w:beforeAutospacing="1" w:after="100" w:afterAutospacing="1"/>
    </w:pPr>
    <w:rPr>
      <w:rFonts w:eastAsia="Arial Unicode MS"/>
      <w:color w:val="000000"/>
      <w:sz w:val="32"/>
      <w:szCs w:val="32"/>
      <w:lang w:val="en-US" w:eastAsia="en-US"/>
    </w:rPr>
  </w:style>
  <w:style w:type="paragraph" w:styleId="Nincstrkz">
    <w:name w:val="No Spacing"/>
    <w:link w:val="NincstrkzChar"/>
    <w:uiPriority w:val="1"/>
    <w:qFormat/>
    <w:rsid w:val="006B6E4E"/>
    <w:rPr>
      <w:rFonts w:ascii="Calibri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6B6E4E"/>
    <w:rPr>
      <w:rFonts w:ascii="Calibri" w:hAnsi="Calibri" w:cs="Calibri"/>
      <w:sz w:val="22"/>
      <w:szCs w:val="22"/>
      <w:lang w:val="en-US" w:eastAsia="en-US" w:bidi="en-US"/>
    </w:rPr>
  </w:style>
  <w:style w:type="character" w:customStyle="1" w:styleId="markedcontent">
    <w:name w:val="markedcontent"/>
    <w:basedOn w:val="Bekezdsalapbettpusa"/>
    <w:rsid w:val="00E866C4"/>
  </w:style>
  <w:style w:type="character" w:customStyle="1" w:styleId="Cmsor5Char">
    <w:name w:val="Címsor 5 Char"/>
    <w:basedOn w:val="Bekezdsalapbettpusa"/>
    <w:link w:val="Cmsor5"/>
    <w:uiPriority w:val="9"/>
    <w:rsid w:val="00ED44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6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adoros@gadoros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769AE-CA3A-477B-B770-B9B4DB799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1947</Words>
  <Characters>14557</Characters>
  <Application>Microsoft Office Word</Application>
  <DocSecurity>0</DocSecurity>
  <Lines>121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 számú bejelentés a Képviselő-testület ülésén</vt:lpstr>
    </vt:vector>
  </TitlesOfParts>
  <Company>y</Company>
  <LinksUpToDate>false</LinksUpToDate>
  <CharactersWithSpaces>16472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 számú bejelentés a Képviselő-testület ülésén</dc:title>
  <dc:creator>x</dc:creator>
  <cp:lastModifiedBy>Németh Lászlóné</cp:lastModifiedBy>
  <cp:revision>5</cp:revision>
  <cp:lastPrinted>2018-07-03T06:33:00Z</cp:lastPrinted>
  <dcterms:created xsi:type="dcterms:W3CDTF">2025-05-06T11:07:00Z</dcterms:created>
  <dcterms:modified xsi:type="dcterms:W3CDTF">2025-05-06T11:17:00Z</dcterms:modified>
</cp:coreProperties>
</file>