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5B9D1" w14:textId="77777777" w:rsidR="00DB21E9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hu-HU"/>
        </w:rPr>
      </w:pPr>
    </w:p>
    <w:p w14:paraId="1FF64F3C" w14:textId="77777777" w:rsidR="00DB21E9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hu-HU"/>
        </w:rPr>
      </w:pPr>
    </w:p>
    <w:p w14:paraId="474A6F23" w14:textId="77777777" w:rsidR="00DB21E9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hu-HU"/>
        </w:rPr>
      </w:pPr>
    </w:p>
    <w:p w14:paraId="0D96705A" w14:textId="77777777" w:rsidR="00DB21E9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hu-HU"/>
        </w:rPr>
      </w:pPr>
    </w:p>
    <w:p w14:paraId="5F60EFFB" w14:textId="77777777" w:rsidR="00DB21E9" w:rsidRPr="002D44AE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</w:pPr>
      <w:r w:rsidRPr="002D44AE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Gádoros Nagyközség</w:t>
      </w:r>
    </w:p>
    <w:p w14:paraId="24E34E5F" w14:textId="77777777" w:rsidR="00DB21E9" w:rsidRPr="002D44AE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</w:pPr>
      <w:r w:rsidRPr="002D44AE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Gazdasági Programja</w:t>
      </w:r>
    </w:p>
    <w:p w14:paraId="3F42525A" w14:textId="3CF46C35" w:rsidR="00DB21E9" w:rsidRPr="002D44AE" w:rsidRDefault="00DB21E9" w:rsidP="00DB21E9">
      <w:pPr>
        <w:spacing w:after="150" w:line="360" w:lineRule="auto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</w:pPr>
      <w:r w:rsidRPr="00144C60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20</w:t>
      </w:r>
      <w:r w:rsidR="00124C3C" w:rsidRPr="00144C60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25</w:t>
      </w:r>
      <w:r w:rsidRPr="00144C60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-202</w:t>
      </w:r>
      <w:r w:rsidR="00124C3C" w:rsidRPr="00144C60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9</w:t>
      </w:r>
      <w:r w:rsidRPr="00144C60">
        <w:rPr>
          <w:rFonts w:ascii="Times New Roman" w:eastAsia="Times New Roman" w:hAnsi="Times New Roman" w:cs="Times New Roman"/>
          <w:color w:val="333333"/>
          <w:sz w:val="52"/>
          <w:szCs w:val="52"/>
          <w:lang w:eastAsia="hu-HU"/>
        </w:rPr>
        <w:t>.</w:t>
      </w:r>
    </w:p>
    <w:p w14:paraId="6E5E173E" w14:textId="77777777" w:rsidR="00DB21E9" w:rsidRDefault="00DB21E9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14:paraId="2AAE897B" w14:textId="77777777" w:rsidR="00DB21E9" w:rsidRDefault="00DB21E9" w:rsidP="00DB21E9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490433A" wp14:editId="6D6FE01C">
            <wp:simplePos x="0" y="0"/>
            <wp:positionH relativeFrom="margin">
              <wp:align>center</wp:align>
            </wp:positionH>
            <wp:positionV relativeFrom="margin">
              <wp:posOffset>4806315</wp:posOffset>
            </wp:positionV>
            <wp:extent cx="2660116" cy="3448050"/>
            <wp:effectExtent l="0" t="0" r="6985" b="0"/>
            <wp:wrapSquare wrapText="bothSides"/>
            <wp:docPr id="1" name="Kép 1" descr="Magyar Állami Jelkép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yar Állami Jelkép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116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br w:type="page"/>
      </w:r>
    </w:p>
    <w:p w14:paraId="04DCF327" w14:textId="77777777" w:rsidR="001C38FD" w:rsidRDefault="001C38F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14:paraId="2B68CCE0" w14:textId="6BF72360" w:rsidR="003A335D" w:rsidRPr="003A335D" w:rsidRDefault="003A335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bookmarkStart w:id="0" w:name="_Hlk194568087"/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Magyarország helyi önkormányzatairól szóló 2011. évi CLXXXIX. törvény 116. §-ban </w:t>
      </w:r>
      <w:bookmarkEnd w:id="0"/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meghatározottak alapján kerül sor</w:t>
      </w:r>
      <w:r w:rsid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</w:t>
      </w:r>
      <w:r w:rsidR="001C38FD"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1C38FD"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gazdasági </w:t>
      </w:r>
      <w:r w:rsidR="001C38FD"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program elkészítésére</w:t>
      </w:r>
      <w:r w:rsidR="001B4381"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2025.-2029. évi időszakra vonatkozóan</w:t>
      </w:r>
      <w:r w:rsidR="001C38FD"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14:paraId="6E887F92" w14:textId="4F7B817A" w:rsidR="003A335D" w:rsidRPr="003A335D" w:rsidRDefault="003A335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gazdasági program, a képviselő-testület megbízatásának időtartamára, vagy azt meghaladó időszakra szólhat.</w:t>
      </w:r>
    </w:p>
    <w:p w14:paraId="0592E7D9" w14:textId="77777777" w:rsidR="003A335D" w:rsidRPr="003A335D" w:rsidRDefault="003A335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gazdasági program elkészítésének célja, hogy az önkormányzat Képviselő-testülete egységes, előre meghatározott célrendszer szerint működjön és a lehetőségek </w:t>
      </w:r>
      <w:r w:rsidR="004C383B"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figyelembevétele</w:t>
      </w: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mellett </w:t>
      </w:r>
      <w:proofErr w:type="spellStart"/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fejlődjön</w:t>
      </w:r>
      <w:proofErr w:type="spellEnd"/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14:paraId="6FD52135" w14:textId="3B0C5306" w:rsidR="003A335D" w:rsidRPr="003A335D" w:rsidRDefault="003A335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gazdasági program helyi szinten határozza meg mindazon célkitűzéseket, feladatokat, amelyek a költségvetési lehetőségekkel összhangban, a helyi társadalmi, környezeti, gazdasági adottságok figyelembevételével – a </w:t>
      </w:r>
      <w:r w:rsidR="001B4381"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vár</w:t>
      </w: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megyei térségi koncepciókhoz illeszkedve – az önkormányzat által nyújtandó kötelező és önként vállalt feladatok biztosítását, fejlesztését szolgálják.</w:t>
      </w:r>
    </w:p>
    <w:p w14:paraId="5E67E2FE" w14:textId="77777777" w:rsidR="003A335D" w:rsidRPr="003A335D" w:rsidRDefault="003A335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3A335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Képviselő-testület a jelen gazdasági programban meghatározottakat figyelembe veszi minden gazdasági jellegű, a gazdálkodásra, a település működtetésére, fejlesztésére vonatkozó döntésnél, különös tekintettel az éves költségvetési rendeletek elkészítése és összeállítása során.</w:t>
      </w:r>
    </w:p>
    <w:p w14:paraId="527C041D" w14:textId="77777777" w:rsidR="001C38FD" w:rsidRPr="001B4381" w:rsidRDefault="00A95289" w:rsidP="001C38FD">
      <w:pPr>
        <w:spacing w:after="150" w:line="360" w:lineRule="auto"/>
        <w:jc w:val="both"/>
        <w:rPr>
          <w:rFonts w:ascii="Helvetica" w:hAnsi="Helvetica" w:cs="Helvetica"/>
          <w:b/>
          <w:bCs/>
          <w:color w:val="333333"/>
          <w:sz w:val="24"/>
          <w:szCs w:val="24"/>
        </w:rPr>
      </w:pPr>
      <w:r w:rsidRPr="001B4381">
        <w:rPr>
          <w:rFonts w:ascii="Helvetica" w:hAnsi="Helvetica" w:cs="Helvetica"/>
          <w:b/>
          <w:bCs/>
          <w:color w:val="333333"/>
          <w:sz w:val="24"/>
          <w:szCs w:val="24"/>
        </w:rPr>
        <w:t>T</w:t>
      </w:r>
      <w:r w:rsidR="001C38FD" w:rsidRPr="001B4381">
        <w:rPr>
          <w:rFonts w:ascii="Helvetica" w:hAnsi="Helvetica" w:cs="Helvetica"/>
          <w:b/>
          <w:bCs/>
          <w:color w:val="333333"/>
          <w:sz w:val="24"/>
          <w:szCs w:val="24"/>
        </w:rPr>
        <w:t>elepüléstörténet</w:t>
      </w:r>
    </w:p>
    <w:p w14:paraId="7AB69E34" w14:textId="77777777" w:rsidR="001C38FD" w:rsidRDefault="00EC20ED" w:rsidP="00EC20ED">
      <w:pPr>
        <w:spacing w:after="150" w:line="360" w:lineRule="auto"/>
        <w:rPr>
          <w:rFonts w:ascii="Arial" w:hAnsi="Arial" w:cs="Arial"/>
          <w:sz w:val="24"/>
          <w:szCs w:val="24"/>
        </w:rPr>
      </w:pPr>
      <w:hyperlink r:id="rId8" w:tooltip="Békéscsaba" w:history="1">
        <w:r w:rsidRPr="00EC20ED">
          <w:rPr>
            <w:rStyle w:val="Hiperhivatkozs"/>
            <w:rFonts w:ascii="Arial" w:hAnsi="Arial" w:cs="Arial"/>
            <w:color w:val="auto"/>
            <w:sz w:val="24"/>
            <w:szCs w:val="24"/>
            <w:u w:val="none"/>
          </w:rPr>
          <w:t>Békéscsabától</w:t>
        </w:r>
      </w:hyperlink>
      <w:r w:rsidRPr="00EC20ED">
        <w:rPr>
          <w:rFonts w:ascii="Arial" w:hAnsi="Arial" w:cs="Arial"/>
          <w:sz w:val="24"/>
          <w:szCs w:val="24"/>
        </w:rPr>
        <w:t xml:space="preserve"> nyugatra, </w:t>
      </w:r>
      <w:hyperlink r:id="rId9" w:tooltip="Orosháza" w:history="1">
        <w:r w:rsidRPr="00EC20ED">
          <w:rPr>
            <w:rStyle w:val="Hiperhivatkozs"/>
            <w:rFonts w:ascii="Arial" w:hAnsi="Arial" w:cs="Arial"/>
            <w:color w:val="auto"/>
            <w:sz w:val="24"/>
            <w:szCs w:val="24"/>
            <w:u w:val="none"/>
          </w:rPr>
          <w:t>Orosházától</w:t>
        </w:r>
      </w:hyperlink>
      <w:r w:rsidRPr="00EC20ED">
        <w:rPr>
          <w:rFonts w:ascii="Arial" w:hAnsi="Arial" w:cs="Arial"/>
          <w:sz w:val="24"/>
          <w:szCs w:val="24"/>
        </w:rPr>
        <w:t xml:space="preserve"> északra fekvő település.</w:t>
      </w:r>
    </w:p>
    <w:p w14:paraId="4AE030A5" w14:textId="77777777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Gádoros nagyközség Békés megye északnyugati kiszögellésében fekszik. Nyugat felől Árpádhalom, északról Eperjes Csongrád megyei településekkel, kelet felől Nagyszénással, délről Szentetornyával határos. Természetes felszíni vize a </w:t>
      </w:r>
      <w:proofErr w:type="spellStart"/>
      <w:r w:rsidRPr="00E05742">
        <w:rPr>
          <w:rFonts w:ascii="Arial" w:hAnsi="Arial" w:cs="Arial"/>
          <w:sz w:val="24"/>
          <w:szCs w:val="24"/>
        </w:rPr>
        <w:t>Mágocsi</w:t>
      </w:r>
      <w:proofErr w:type="spellEnd"/>
      <w:r w:rsidRPr="00E05742">
        <w:rPr>
          <w:rFonts w:ascii="Arial" w:hAnsi="Arial" w:cs="Arial"/>
          <w:sz w:val="24"/>
          <w:szCs w:val="24"/>
        </w:rPr>
        <w:t>-ér, mely az Orosháza-Szentesi műutat érinti.</w:t>
      </w:r>
    </w:p>
    <w:p w14:paraId="15B6F83F" w14:textId="77777777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Régészeti leletek szerint már i.e. 4000-3500 éve éltek itt emberek. Szórványleleteink – fekete gránit kőbalta, kőpengék, szakócák, „Körösi-kultúra” cserépedény maradványai, de felszínre került bronzkori, szarmata, szkíta, dák, római, avar cserepek, érmék, fibula, honfoglalás kori őrlőkő, edénycserepek, négy lovas sír, aranyozott bronz veretekkel. /L. Szentes, Békéscsaba, Orosháza </w:t>
      </w:r>
      <w:r w:rsidR="004C383B" w:rsidRPr="00E05742">
        <w:rPr>
          <w:rFonts w:ascii="Arial" w:hAnsi="Arial" w:cs="Arial"/>
          <w:sz w:val="24"/>
          <w:szCs w:val="24"/>
        </w:rPr>
        <w:t>múzeumjaiban</w:t>
      </w:r>
      <w:r w:rsidRPr="00E05742">
        <w:rPr>
          <w:rFonts w:ascii="Arial" w:hAnsi="Arial" w:cs="Arial"/>
          <w:sz w:val="24"/>
          <w:szCs w:val="24"/>
        </w:rPr>
        <w:t>/. E területen 3 Árpád-kori település nyomaira bukkantak. Gádoros (</w:t>
      </w:r>
      <w:proofErr w:type="spellStart"/>
      <w:r w:rsidRPr="00E05742">
        <w:rPr>
          <w:rFonts w:ascii="Arial" w:hAnsi="Arial" w:cs="Arial"/>
          <w:sz w:val="24"/>
          <w:szCs w:val="24"/>
        </w:rPr>
        <w:t>Gadoros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) is Árpád-kori </w:t>
      </w:r>
      <w:r w:rsidRPr="00E05742">
        <w:rPr>
          <w:rFonts w:ascii="Arial" w:hAnsi="Arial" w:cs="Arial"/>
          <w:sz w:val="24"/>
          <w:szCs w:val="24"/>
        </w:rPr>
        <w:lastRenderedPageBreak/>
        <w:t>település, melyet a tatárok 1241-ben 48 faluval együtt felperzseltek, s az 1436. május 16-i királyi adománylevél már csak</w:t>
      </w:r>
      <w:r w:rsidR="004C383B">
        <w:rPr>
          <w:rFonts w:ascii="Arial" w:hAnsi="Arial" w:cs="Arial"/>
          <w:sz w:val="24"/>
          <w:szCs w:val="24"/>
        </w:rPr>
        <w:t>,</w:t>
      </w:r>
      <w:r w:rsidRPr="00E05742">
        <w:rPr>
          <w:rFonts w:ascii="Arial" w:hAnsi="Arial" w:cs="Arial"/>
          <w:sz w:val="24"/>
          <w:szCs w:val="24"/>
        </w:rPr>
        <w:t xml:space="preserve"> mint </w:t>
      </w:r>
      <w:proofErr w:type="spellStart"/>
      <w:r w:rsidRPr="00E05742">
        <w:rPr>
          <w:rFonts w:ascii="Arial" w:hAnsi="Arial" w:cs="Arial"/>
          <w:sz w:val="24"/>
          <w:szCs w:val="24"/>
        </w:rPr>
        <w:t>Gadoros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pusztát említi. (Ékezet nélkül.)</w:t>
      </w:r>
    </w:p>
    <w:p w14:paraId="275E353F" w14:textId="77777777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 Az elnevezés – Gádoros visszautalt a régi, </w:t>
      </w:r>
      <w:proofErr w:type="spellStart"/>
      <w:r w:rsidRPr="00E05742">
        <w:rPr>
          <w:rFonts w:ascii="Arial" w:hAnsi="Arial" w:cs="Arial"/>
          <w:sz w:val="24"/>
          <w:szCs w:val="24"/>
        </w:rPr>
        <w:t>árpádkori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névre. „Gádor” a magyar nyelvtörténeti szótár szerint – átriumot, tornácot, előcsarnokot jelent. A történészek szerint Gádoros onnan kapta a nevét, hogy a település templomának volt egy kis előcsarnoka, melyet gádornak neveztek.</w:t>
      </w:r>
    </w:p>
    <w:p w14:paraId="642D79BE" w14:textId="59701558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Gádoros </w:t>
      </w:r>
      <w:proofErr w:type="spellStart"/>
      <w:r w:rsidRPr="00E05742">
        <w:rPr>
          <w:rFonts w:ascii="Arial" w:hAnsi="Arial" w:cs="Arial"/>
          <w:sz w:val="24"/>
          <w:szCs w:val="24"/>
        </w:rPr>
        <w:t>újratelepítése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báró </w:t>
      </w:r>
      <w:proofErr w:type="spellStart"/>
      <w:r w:rsidRPr="00E05742">
        <w:rPr>
          <w:rFonts w:ascii="Arial" w:hAnsi="Arial" w:cs="Arial"/>
          <w:sz w:val="24"/>
          <w:szCs w:val="24"/>
        </w:rPr>
        <w:t>Dezséri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Rudnyánszky Sándor Békés Vármegye főjegyzője érdeme, </w:t>
      </w:r>
      <w:proofErr w:type="gramStart"/>
      <w:r w:rsidRPr="00E05742">
        <w:rPr>
          <w:rFonts w:ascii="Arial" w:hAnsi="Arial" w:cs="Arial"/>
          <w:sz w:val="24"/>
          <w:szCs w:val="24"/>
        </w:rPr>
        <w:t>akit</w:t>
      </w:r>
      <w:proofErr w:type="gramEnd"/>
      <w:r w:rsidRPr="00E05742">
        <w:rPr>
          <w:rFonts w:ascii="Arial" w:hAnsi="Arial" w:cs="Arial"/>
          <w:sz w:val="24"/>
          <w:szCs w:val="24"/>
        </w:rPr>
        <w:t xml:space="preserve"> mint a </w:t>
      </w:r>
      <w:proofErr w:type="spellStart"/>
      <w:r w:rsidRPr="00E05742">
        <w:rPr>
          <w:rFonts w:ascii="Arial" w:hAnsi="Arial" w:cs="Arial"/>
          <w:sz w:val="24"/>
          <w:szCs w:val="24"/>
        </w:rPr>
        <w:t>szentetornyai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birtok örököse 1826. szeptember 29-én 40 telekhely kimérésével, 30 orosházi, illetve szentesi telepessel szerződést kötve létrehozta Bánfalva települést. Bánfalva (Bárófalva, </w:t>
      </w:r>
      <w:proofErr w:type="spellStart"/>
      <w:r w:rsidRPr="00E05742">
        <w:rPr>
          <w:rFonts w:ascii="Arial" w:hAnsi="Arial" w:cs="Arial"/>
          <w:sz w:val="24"/>
          <w:szCs w:val="24"/>
        </w:rPr>
        <w:t>Bánomfalva</w:t>
      </w:r>
      <w:proofErr w:type="spellEnd"/>
      <w:r w:rsidRPr="00E05742">
        <w:rPr>
          <w:rFonts w:ascii="Arial" w:hAnsi="Arial" w:cs="Arial"/>
          <w:sz w:val="24"/>
          <w:szCs w:val="24"/>
        </w:rPr>
        <w:t>) 1826-tól 1901-ig viselte ezt a nevet. 1901-ben Dr. Karácsony János püspök – történész kezdeményezte a névváltozást.</w:t>
      </w:r>
    </w:p>
    <w:p w14:paraId="3FA44F48" w14:textId="77777777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 Az evangélikusok 1838-ban építenek először szerény templomot, mely 1888-ban kapja mai </w:t>
      </w:r>
      <w:proofErr w:type="spellStart"/>
      <w:r w:rsidRPr="00E05742">
        <w:rPr>
          <w:rFonts w:ascii="Arial" w:hAnsi="Arial" w:cs="Arial"/>
          <w:sz w:val="24"/>
          <w:szCs w:val="24"/>
        </w:rPr>
        <w:t>külsejét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. A római katolikusok műemlék jellegű temploma 1844-ben épült, és 1891-ben építették át. A reformátusok templomát 1929. június 16-án szenteli fel Dr. </w:t>
      </w:r>
      <w:proofErr w:type="spellStart"/>
      <w:r w:rsidRPr="00E05742">
        <w:rPr>
          <w:rFonts w:ascii="Arial" w:hAnsi="Arial" w:cs="Arial"/>
          <w:sz w:val="24"/>
          <w:szCs w:val="24"/>
        </w:rPr>
        <w:t>Balthazár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Dezső püspök</w:t>
      </w:r>
    </w:p>
    <w:p w14:paraId="1D824E28" w14:textId="19B2072A" w:rsidR="00E05742" w:rsidRPr="003E5284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Köztéri emlékművekben, szobrokban is gazdag a falu: 1848/49-es Hősi Emlékmű (1999), I. Világháborús Emlékmű, II. </w:t>
      </w:r>
      <w:r w:rsidR="004C383B">
        <w:rPr>
          <w:rFonts w:ascii="Arial" w:hAnsi="Arial" w:cs="Arial"/>
          <w:sz w:val="24"/>
          <w:szCs w:val="24"/>
        </w:rPr>
        <w:t>V</w:t>
      </w:r>
      <w:r w:rsidRPr="00E05742">
        <w:rPr>
          <w:rFonts w:ascii="Arial" w:hAnsi="Arial" w:cs="Arial"/>
          <w:sz w:val="24"/>
          <w:szCs w:val="24"/>
        </w:rPr>
        <w:t xml:space="preserve">ilágháborús </w:t>
      </w:r>
      <w:r w:rsidR="004C383B">
        <w:rPr>
          <w:rFonts w:ascii="Arial" w:hAnsi="Arial" w:cs="Arial"/>
          <w:sz w:val="24"/>
          <w:szCs w:val="24"/>
        </w:rPr>
        <w:t>E</w:t>
      </w:r>
      <w:r w:rsidRPr="00E05742">
        <w:rPr>
          <w:rFonts w:ascii="Arial" w:hAnsi="Arial" w:cs="Arial"/>
          <w:sz w:val="24"/>
          <w:szCs w:val="24"/>
        </w:rPr>
        <w:t xml:space="preserve">mlékmű, Dr. Hidasi László községi orvos mellszobra, </w:t>
      </w:r>
      <w:proofErr w:type="spellStart"/>
      <w:r w:rsidRPr="00E05742">
        <w:rPr>
          <w:rFonts w:ascii="Arial" w:hAnsi="Arial" w:cs="Arial"/>
          <w:sz w:val="24"/>
          <w:szCs w:val="24"/>
        </w:rPr>
        <w:t>Szervátiusz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Tibor „Anya gyermekével” c. szobra, Justh Zsigmond író mellszobra és síremléke a Községi Újtemetőben, Udvardi Kossuth Lászlóné, Petőfi Sándor első szerelmének </w:t>
      </w:r>
      <w:proofErr w:type="spellStart"/>
      <w:r w:rsidRPr="00E05742">
        <w:rPr>
          <w:rFonts w:ascii="Arial" w:hAnsi="Arial" w:cs="Arial"/>
          <w:sz w:val="24"/>
          <w:szCs w:val="24"/>
        </w:rPr>
        <w:t>Cancrinyi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05742">
        <w:rPr>
          <w:rFonts w:ascii="Arial" w:hAnsi="Arial" w:cs="Arial"/>
          <w:sz w:val="24"/>
          <w:szCs w:val="24"/>
        </w:rPr>
        <w:t>Emilia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unokájának síremléke, „Hét Vezér Liget” </w:t>
      </w:r>
      <w:r w:rsidRPr="003E5284">
        <w:rPr>
          <w:rFonts w:ascii="Arial" w:hAnsi="Arial" w:cs="Arial"/>
          <w:sz w:val="24"/>
          <w:szCs w:val="24"/>
        </w:rPr>
        <w:t>díszkúttal, Justh Zsigmond emléktábla, Millecentenáriumi Emléktábla, Torja székely testvérközség Székelykapuja és kopjafája</w:t>
      </w:r>
      <w:r w:rsidR="001B4381" w:rsidRPr="00144C60">
        <w:rPr>
          <w:rFonts w:ascii="Arial" w:hAnsi="Arial" w:cs="Arial"/>
          <w:sz w:val="24"/>
          <w:szCs w:val="24"/>
        </w:rPr>
        <w:t xml:space="preserve">, Gádoros Nagyközséggé nyilvánításának 50. évfordulója alkalmából állított Uppony testvérközség </w:t>
      </w:r>
      <w:proofErr w:type="spellStart"/>
      <w:r w:rsidR="001B4381" w:rsidRPr="00144C60">
        <w:rPr>
          <w:rFonts w:ascii="Arial" w:hAnsi="Arial" w:cs="Arial"/>
          <w:sz w:val="24"/>
          <w:szCs w:val="24"/>
        </w:rPr>
        <w:t>emlékkője</w:t>
      </w:r>
      <w:proofErr w:type="spellEnd"/>
      <w:r w:rsidR="001B4381" w:rsidRPr="00144C60">
        <w:rPr>
          <w:rFonts w:ascii="Arial" w:hAnsi="Arial" w:cs="Arial"/>
          <w:sz w:val="24"/>
          <w:szCs w:val="24"/>
        </w:rPr>
        <w:t>, Békés József</w:t>
      </w:r>
      <w:r w:rsidR="002D5F5E" w:rsidRPr="00144C60">
        <w:rPr>
          <w:rFonts w:ascii="Arial" w:hAnsi="Arial" w:cs="Arial"/>
          <w:sz w:val="24"/>
          <w:szCs w:val="24"/>
        </w:rPr>
        <w:t xml:space="preserve"> </w:t>
      </w:r>
      <w:r w:rsidR="003E5284" w:rsidRPr="00144C60">
        <w:rPr>
          <w:rFonts w:ascii="Arial" w:hAnsi="Arial" w:cs="Arial"/>
          <w:sz w:val="24"/>
          <w:szCs w:val="24"/>
        </w:rPr>
        <w:t>emléktábl</w:t>
      </w:r>
      <w:r w:rsidR="00D56862" w:rsidRPr="00144C60">
        <w:rPr>
          <w:rFonts w:ascii="Arial" w:hAnsi="Arial" w:cs="Arial"/>
          <w:sz w:val="24"/>
          <w:szCs w:val="24"/>
        </w:rPr>
        <w:t>ája</w:t>
      </w:r>
      <w:r w:rsidR="003E5284" w:rsidRPr="00144C60">
        <w:rPr>
          <w:rFonts w:ascii="Arial" w:hAnsi="Arial" w:cs="Arial"/>
          <w:sz w:val="24"/>
          <w:szCs w:val="24"/>
        </w:rPr>
        <w:t>.</w:t>
      </w:r>
    </w:p>
    <w:p w14:paraId="2AFD1592" w14:textId="1487733E" w:rsidR="00E05742" w:rsidRPr="00E05742" w:rsidRDefault="00E05742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  <w:r w:rsidRPr="00E05742">
        <w:rPr>
          <w:rFonts w:ascii="Arial" w:hAnsi="Arial" w:cs="Arial"/>
          <w:sz w:val="24"/>
          <w:szCs w:val="24"/>
        </w:rPr>
        <w:t xml:space="preserve"> A község nevezetes személyiségei: a falut </w:t>
      </w:r>
      <w:proofErr w:type="spellStart"/>
      <w:r w:rsidRPr="00E05742">
        <w:rPr>
          <w:rFonts w:ascii="Arial" w:hAnsi="Arial" w:cs="Arial"/>
          <w:sz w:val="24"/>
          <w:szCs w:val="24"/>
        </w:rPr>
        <w:t>újraalapító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báró </w:t>
      </w:r>
      <w:proofErr w:type="spellStart"/>
      <w:r w:rsidRPr="00E05742">
        <w:rPr>
          <w:rFonts w:ascii="Arial" w:hAnsi="Arial" w:cs="Arial"/>
          <w:sz w:val="24"/>
          <w:szCs w:val="24"/>
        </w:rPr>
        <w:t>Dezséri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Rudnyánszky Sándor, Baross Gábor evangélikus lelkész, történetíró, Justh Zsigmond író, Papp Károly főjegyző, Udvardi Kossuth Lászlóné, </w:t>
      </w:r>
      <w:proofErr w:type="spellStart"/>
      <w:r w:rsidRPr="00E05742">
        <w:rPr>
          <w:rFonts w:ascii="Arial" w:hAnsi="Arial" w:cs="Arial"/>
          <w:sz w:val="24"/>
          <w:szCs w:val="24"/>
        </w:rPr>
        <w:t>Némann</w:t>
      </w:r>
      <w:proofErr w:type="spellEnd"/>
      <w:r w:rsidRPr="00E05742">
        <w:rPr>
          <w:rFonts w:ascii="Arial" w:hAnsi="Arial" w:cs="Arial"/>
          <w:sz w:val="24"/>
          <w:szCs w:val="24"/>
        </w:rPr>
        <w:t xml:space="preserve"> Valéria tanítónő, Békés József dramaturg és író, Szalai György bronzérmes olimpikon, Pisont István válogatott labdarúgó.</w:t>
      </w:r>
    </w:p>
    <w:p w14:paraId="4A314EFD" w14:textId="77777777" w:rsidR="00A95289" w:rsidRDefault="00A95289" w:rsidP="00E05742">
      <w:pPr>
        <w:spacing w:after="150" w:line="360" w:lineRule="auto"/>
        <w:jc w:val="both"/>
        <w:rPr>
          <w:rFonts w:ascii="Arial" w:hAnsi="Arial" w:cs="Arial"/>
          <w:sz w:val="24"/>
          <w:szCs w:val="24"/>
        </w:rPr>
      </w:pPr>
    </w:p>
    <w:p w14:paraId="6818EC1E" w14:textId="77777777" w:rsidR="00A95289" w:rsidRDefault="008C57C6" w:rsidP="00EC20ED">
      <w:pPr>
        <w:spacing w:after="150" w:line="360" w:lineRule="auto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u-HU"/>
        </w:rPr>
        <w:lastRenderedPageBreak/>
        <w:t>Népesség: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50"/>
        <w:gridCol w:w="1222"/>
        <w:gridCol w:w="1276"/>
        <w:gridCol w:w="1134"/>
        <w:gridCol w:w="1276"/>
        <w:gridCol w:w="1214"/>
        <w:gridCol w:w="1190"/>
      </w:tblGrid>
      <w:tr w:rsidR="000B07D9" w14:paraId="3330C011" w14:textId="77777777" w:rsidTr="000B07D9">
        <w:tc>
          <w:tcPr>
            <w:tcW w:w="1750" w:type="dxa"/>
          </w:tcPr>
          <w:p w14:paraId="1F2724ED" w14:textId="77777777" w:rsidR="000B07D9" w:rsidRPr="000B07D9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1222" w:type="dxa"/>
            <w:vAlign w:val="center"/>
          </w:tcPr>
          <w:p w14:paraId="3BC04C66" w14:textId="6E6C52AE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2020. év</w:t>
            </w:r>
          </w:p>
        </w:tc>
        <w:tc>
          <w:tcPr>
            <w:tcW w:w="1276" w:type="dxa"/>
            <w:vAlign w:val="center"/>
          </w:tcPr>
          <w:p w14:paraId="5B3FB6A6" w14:textId="1F57F604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2021. év</w:t>
            </w:r>
          </w:p>
        </w:tc>
        <w:tc>
          <w:tcPr>
            <w:tcW w:w="1134" w:type="dxa"/>
            <w:vAlign w:val="center"/>
          </w:tcPr>
          <w:p w14:paraId="364EF717" w14:textId="7FDE53EA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2022. év</w:t>
            </w:r>
          </w:p>
        </w:tc>
        <w:tc>
          <w:tcPr>
            <w:tcW w:w="1276" w:type="dxa"/>
            <w:vAlign w:val="center"/>
          </w:tcPr>
          <w:p w14:paraId="0E69FFB4" w14:textId="11F4A0F4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2023. év</w:t>
            </w:r>
          </w:p>
        </w:tc>
        <w:tc>
          <w:tcPr>
            <w:tcW w:w="1214" w:type="dxa"/>
          </w:tcPr>
          <w:p w14:paraId="050D7AEF" w14:textId="04B694E1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2024. év</w:t>
            </w:r>
          </w:p>
        </w:tc>
        <w:tc>
          <w:tcPr>
            <w:tcW w:w="1190" w:type="dxa"/>
            <w:vAlign w:val="center"/>
          </w:tcPr>
          <w:p w14:paraId="138367C6" w14:textId="62DF02AE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lang w:eastAsia="hu-HU"/>
              </w:rPr>
              <w:t>2025. év</w:t>
            </w:r>
          </w:p>
        </w:tc>
      </w:tr>
      <w:tr w:rsidR="000B07D9" w14:paraId="07947FEC" w14:textId="77777777" w:rsidTr="000B07D9">
        <w:tc>
          <w:tcPr>
            <w:tcW w:w="1750" w:type="dxa"/>
          </w:tcPr>
          <w:p w14:paraId="70451B4C" w14:textId="77777777" w:rsidR="000B07D9" w:rsidRPr="000B07D9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0B07D9">
              <w:rPr>
                <w:rFonts w:ascii="Arial" w:eastAsia="Times New Roman" w:hAnsi="Arial" w:cs="Arial"/>
                <w:b/>
                <w:bCs/>
                <w:lang w:eastAsia="hu-HU"/>
              </w:rPr>
              <w:t xml:space="preserve">Összlétszám: </w:t>
            </w:r>
          </w:p>
        </w:tc>
        <w:tc>
          <w:tcPr>
            <w:tcW w:w="1222" w:type="dxa"/>
            <w:vAlign w:val="center"/>
          </w:tcPr>
          <w:p w14:paraId="26352B9F" w14:textId="4E0321EC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3.662 fő</w:t>
            </w:r>
          </w:p>
        </w:tc>
        <w:tc>
          <w:tcPr>
            <w:tcW w:w="1276" w:type="dxa"/>
            <w:vAlign w:val="center"/>
          </w:tcPr>
          <w:p w14:paraId="60D733B9" w14:textId="4813A533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3.605 fő</w:t>
            </w:r>
          </w:p>
        </w:tc>
        <w:tc>
          <w:tcPr>
            <w:tcW w:w="1134" w:type="dxa"/>
            <w:vAlign w:val="center"/>
          </w:tcPr>
          <w:p w14:paraId="3AE82C8E" w14:textId="2D6D45D7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3.564 fő</w:t>
            </w:r>
          </w:p>
        </w:tc>
        <w:tc>
          <w:tcPr>
            <w:tcW w:w="1276" w:type="dxa"/>
            <w:vAlign w:val="center"/>
          </w:tcPr>
          <w:p w14:paraId="78021016" w14:textId="6B11441D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3.533 fő</w:t>
            </w:r>
          </w:p>
        </w:tc>
        <w:tc>
          <w:tcPr>
            <w:tcW w:w="1214" w:type="dxa"/>
          </w:tcPr>
          <w:p w14:paraId="1EB52822" w14:textId="6C4C5CF4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3.557 fő</w:t>
            </w:r>
          </w:p>
        </w:tc>
        <w:tc>
          <w:tcPr>
            <w:tcW w:w="1190" w:type="dxa"/>
            <w:vAlign w:val="center"/>
          </w:tcPr>
          <w:p w14:paraId="0230074B" w14:textId="586EBFA1" w:rsidR="000B07D9" w:rsidRPr="00144C60" w:rsidRDefault="000B07D9" w:rsidP="008C57C6">
            <w:pPr>
              <w:spacing w:after="150" w:line="360" w:lineRule="auto"/>
              <w:jc w:val="center"/>
              <w:rPr>
                <w:rFonts w:ascii="Arial" w:eastAsia="Times New Roman" w:hAnsi="Arial" w:cs="Arial"/>
                <w:lang w:eastAsia="hu-HU"/>
              </w:rPr>
            </w:pPr>
            <w:r w:rsidRPr="00144C60">
              <w:rPr>
                <w:rFonts w:ascii="Arial" w:eastAsia="Times New Roman" w:hAnsi="Arial" w:cs="Arial"/>
                <w:lang w:eastAsia="hu-HU"/>
              </w:rPr>
              <w:t>3.5</w:t>
            </w:r>
            <w:r w:rsidR="001E43E5" w:rsidRPr="00144C60">
              <w:rPr>
                <w:rFonts w:ascii="Arial" w:eastAsia="Times New Roman" w:hAnsi="Arial" w:cs="Arial"/>
                <w:lang w:eastAsia="hu-HU"/>
              </w:rPr>
              <w:t>24</w:t>
            </w:r>
            <w:r w:rsidRPr="00144C60">
              <w:rPr>
                <w:rFonts w:ascii="Arial" w:eastAsia="Times New Roman" w:hAnsi="Arial" w:cs="Arial"/>
                <w:lang w:eastAsia="hu-HU"/>
              </w:rPr>
              <w:t xml:space="preserve"> fő</w:t>
            </w:r>
          </w:p>
        </w:tc>
      </w:tr>
    </w:tbl>
    <w:p w14:paraId="66FC32A3" w14:textId="77777777" w:rsidR="008C57C6" w:rsidRDefault="008C57C6" w:rsidP="00EC20ED">
      <w:pPr>
        <w:spacing w:after="150" w:line="360" w:lineRule="auto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14:paraId="742F86FF" w14:textId="77777777" w:rsidR="00EC20ED" w:rsidRDefault="008C57C6" w:rsidP="00EC20ED">
      <w:pPr>
        <w:spacing w:after="150" w:line="360" w:lineRule="auto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u-HU"/>
        </w:rPr>
        <w:t>Korcsoportos megoszlás: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84"/>
        <w:gridCol w:w="1302"/>
        <w:gridCol w:w="1260"/>
        <w:gridCol w:w="1397"/>
        <w:gridCol w:w="1123"/>
        <w:gridCol w:w="1259"/>
        <w:gridCol w:w="1237"/>
      </w:tblGrid>
      <w:tr w:rsidR="000B07D9" w14:paraId="14853542" w14:textId="50B3DA76" w:rsidTr="000B07D9">
        <w:tc>
          <w:tcPr>
            <w:tcW w:w="1484" w:type="dxa"/>
          </w:tcPr>
          <w:p w14:paraId="5E5AD5DA" w14:textId="77777777" w:rsidR="000B07D9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</w:tcPr>
          <w:p w14:paraId="5DCAF7B7" w14:textId="6C896AEA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2020. év</w:t>
            </w:r>
          </w:p>
        </w:tc>
        <w:tc>
          <w:tcPr>
            <w:tcW w:w="1260" w:type="dxa"/>
          </w:tcPr>
          <w:p w14:paraId="4E8E1A6B" w14:textId="56786737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2021. év</w:t>
            </w:r>
          </w:p>
        </w:tc>
        <w:tc>
          <w:tcPr>
            <w:tcW w:w="1397" w:type="dxa"/>
          </w:tcPr>
          <w:p w14:paraId="3C986D23" w14:textId="001B5390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2022. év</w:t>
            </w:r>
          </w:p>
        </w:tc>
        <w:tc>
          <w:tcPr>
            <w:tcW w:w="1123" w:type="dxa"/>
          </w:tcPr>
          <w:p w14:paraId="3E9FB1A1" w14:textId="6E84F1C9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2023. év</w:t>
            </w:r>
          </w:p>
        </w:tc>
        <w:tc>
          <w:tcPr>
            <w:tcW w:w="1259" w:type="dxa"/>
          </w:tcPr>
          <w:p w14:paraId="0F6E4622" w14:textId="77CFB456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2024. év</w:t>
            </w:r>
          </w:p>
        </w:tc>
        <w:tc>
          <w:tcPr>
            <w:tcW w:w="1237" w:type="dxa"/>
          </w:tcPr>
          <w:p w14:paraId="1ED0BE4E" w14:textId="27664083" w:rsidR="000B07D9" w:rsidRPr="00144C60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2025. év</w:t>
            </w:r>
          </w:p>
        </w:tc>
      </w:tr>
      <w:tr w:rsidR="000B07D9" w14:paraId="20FD035C" w14:textId="49217D38" w:rsidTr="001E43E5">
        <w:tc>
          <w:tcPr>
            <w:tcW w:w="1484" w:type="dxa"/>
          </w:tcPr>
          <w:p w14:paraId="5558F393" w14:textId="77777777" w:rsidR="000B07D9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0-60 éves korig</w:t>
            </w:r>
          </w:p>
        </w:tc>
        <w:tc>
          <w:tcPr>
            <w:tcW w:w="1302" w:type="dxa"/>
            <w:vAlign w:val="center"/>
          </w:tcPr>
          <w:p w14:paraId="50853CFF" w14:textId="4CF3CC8C" w:rsidR="000B07D9" w:rsidRPr="00144C60" w:rsidRDefault="000B07D9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</w:t>
            </w:r>
            <w:r w:rsidR="008F01A6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691</w:t>
            </w: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60" w:type="dxa"/>
            <w:vAlign w:val="center"/>
          </w:tcPr>
          <w:p w14:paraId="2281E060" w14:textId="40C2B683" w:rsidR="000B07D9" w:rsidRPr="00144C60" w:rsidRDefault="000B07D9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</w:t>
            </w:r>
            <w:r w:rsidR="008F01A6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639</w:t>
            </w: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397" w:type="dxa"/>
            <w:vAlign w:val="center"/>
          </w:tcPr>
          <w:p w14:paraId="6B897F44" w14:textId="296BD6F2" w:rsidR="000B07D9" w:rsidRPr="00144C60" w:rsidRDefault="000B07D9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</w:t>
            </w:r>
            <w:r w:rsidR="008F01A6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621</w:t>
            </w: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123" w:type="dxa"/>
            <w:vAlign w:val="center"/>
          </w:tcPr>
          <w:p w14:paraId="14E43CFB" w14:textId="5ABA9D7C" w:rsidR="000B07D9" w:rsidRPr="00144C60" w:rsidRDefault="000B07D9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</w:t>
            </w:r>
            <w:r w:rsidR="008F01A6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623</w:t>
            </w: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59" w:type="dxa"/>
            <w:vAlign w:val="center"/>
          </w:tcPr>
          <w:p w14:paraId="1304249B" w14:textId="74620FAA" w:rsidR="000B07D9" w:rsidRPr="00144C60" w:rsidRDefault="000B07D9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2.6</w:t>
            </w:r>
            <w:r w:rsidR="0050593F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39</w:t>
            </w: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37" w:type="dxa"/>
            <w:vAlign w:val="center"/>
          </w:tcPr>
          <w:p w14:paraId="24CDA0BE" w14:textId="35635627" w:rsidR="000B07D9" w:rsidRPr="00144C60" w:rsidRDefault="001E43E5" w:rsidP="001E43E5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2622 fő</w:t>
            </w:r>
          </w:p>
        </w:tc>
      </w:tr>
      <w:tr w:rsidR="000B07D9" w14:paraId="60078947" w14:textId="7F9C52DD" w:rsidTr="001E43E5">
        <w:tc>
          <w:tcPr>
            <w:tcW w:w="1484" w:type="dxa"/>
          </w:tcPr>
          <w:p w14:paraId="2576AAFA" w14:textId="77777777" w:rsidR="000B07D9" w:rsidRDefault="000B07D9" w:rsidP="00EC20ED">
            <w:pPr>
              <w:spacing w:after="15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60 év fölött</w:t>
            </w:r>
          </w:p>
        </w:tc>
        <w:tc>
          <w:tcPr>
            <w:tcW w:w="1302" w:type="dxa"/>
            <w:vAlign w:val="center"/>
          </w:tcPr>
          <w:p w14:paraId="548A0865" w14:textId="77673878" w:rsidR="000B07D9" w:rsidRPr="00144C60" w:rsidRDefault="008F01A6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971</w:t>
            </w:r>
            <w:r w:rsidR="000B07D9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60" w:type="dxa"/>
            <w:vAlign w:val="center"/>
          </w:tcPr>
          <w:p w14:paraId="4E70E0C9" w14:textId="4A334666" w:rsidR="000B07D9" w:rsidRPr="00144C60" w:rsidRDefault="008F01A6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966</w:t>
            </w:r>
            <w:r w:rsidR="000B07D9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397" w:type="dxa"/>
            <w:vAlign w:val="center"/>
          </w:tcPr>
          <w:p w14:paraId="5B6C4D8B" w14:textId="3A1C233B" w:rsidR="000B07D9" w:rsidRPr="00144C60" w:rsidRDefault="008F01A6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943</w:t>
            </w:r>
            <w:r w:rsidR="000B07D9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123" w:type="dxa"/>
            <w:vAlign w:val="center"/>
          </w:tcPr>
          <w:p w14:paraId="64E7B51F" w14:textId="09E80459" w:rsidR="000B07D9" w:rsidRPr="00144C60" w:rsidRDefault="008F01A6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910</w:t>
            </w:r>
            <w:r w:rsidR="000B07D9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59" w:type="dxa"/>
            <w:vAlign w:val="center"/>
          </w:tcPr>
          <w:p w14:paraId="281C481F" w14:textId="2AADB0CC" w:rsidR="000B07D9" w:rsidRPr="00144C60" w:rsidRDefault="0050593F" w:rsidP="00517C14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918</w:t>
            </w:r>
            <w:r w:rsidR="000B07D9"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fő</w:t>
            </w:r>
          </w:p>
        </w:tc>
        <w:tc>
          <w:tcPr>
            <w:tcW w:w="1237" w:type="dxa"/>
            <w:vAlign w:val="center"/>
          </w:tcPr>
          <w:p w14:paraId="2B23F12E" w14:textId="137E15F7" w:rsidR="000B07D9" w:rsidRPr="00144C60" w:rsidRDefault="001E43E5" w:rsidP="001E43E5">
            <w:pPr>
              <w:spacing w:after="15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44C6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902 fő</w:t>
            </w:r>
          </w:p>
        </w:tc>
      </w:tr>
    </w:tbl>
    <w:p w14:paraId="1C2A5597" w14:textId="77777777" w:rsidR="008C57C6" w:rsidRDefault="008C57C6" w:rsidP="00EC20ED">
      <w:pPr>
        <w:spacing w:after="150" w:line="360" w:lineRule="auto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14:paraId="1F2251CE" w14:textId="77777777" w:rsidR="00A95289" w:rsidRPr="00A95289" w:rsidRDefault="00A95289" w:rsidP="00A9528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A95289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hu-HU"/>
        </w:rPr>
        <w:t xml:space="preserve">Infrastruktúra </w:t>
      </w:r>
    </w:p>
    <w:p w14:paraId="02A91E69" w14:textId="77777777" w:rsidR="00A95289" w:rsidRPr="00A95289" w:rsidRDefault="00A95289" w:rsidP="00A9528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A95289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a)   A víz- és szennyvízhálózat a településen kiépített,</w:t>
      </w:r>
    </w:p>
    <w:p w14:paraId="2D005C11" w14:textId="77777777" w:rsidR="00A95289" w:rsidRPr="00A95289" w:rsidRDefault="00A95289" w:rsidP="00A9528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A95289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b)   A villamos energia és gázhálózat a településen kiépített.</w:t>
      </w:r>
    </w:p>
    <w:p w14:paraId="01D8BB51" w14:textId="7E35F481" w:rsidR="00A95289" w:rsidRPr="00A95289" w:rsidRDefault="00A95289" w:rsidP="00D56862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A95289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c)   A vezetékes telefon, a kábeltévé, az internet hálózat a település területén</w:t>
      </w:r>
      <w:r w:rsidR="00D56862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 xml:space="preserve"> </w:t>
      </w:r>
      <w:r w:rsidRPr="00A95289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kiépített.</w:t>
      </w:r>
    </w:p>
    <w:p w14:paraId="7296D350" w14:textId="77777777" w:rsidR="00A95289" w:rsidRPr="00A95289" w:rsidRDefault="00A95289" w:rsidP="00A95289">
      <w:pPr>
        <w:spacing w:after="150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A95289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d)   A szilárd hulladék kezelése külső vállalkozó útján biztosított.</w:t>
      </w:r>
    </w:p>
    <w:p w14:paraId="1F358972" w14:textId="77777777" w:rsidR="001C38FD" w:rsidRDefault="001C38FD" w:rsidP="001C38FD">
      <w:pPr>
        <w:spacing w:after="150" w:line="360" w:lineRule="auto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14:paraId="63E69BAD" w14:textId="77777777" w:rsidR="001C38FD" w:rsidRPr="001C38FD" w:rsidRDefault="001C38FD" w:rsidP="001C38FD">
      <w:pPr>
        <w:spacing w:after="150" w:line="36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Gádoros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N</w:t>
      </w:r>
      <w:r w:rsidRPr="001C38F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agyközség gazdasági helyzetét alapvetően befolyásoló körülmények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:</w:t>
      </w:r>
    </w:p>
    <w:p w14:paraId="20EF1DB5" w14:textId="6582303A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kormányzat</w:t>
      </w:r>
      <w:r w:rsidR="000B5F47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i</w:t>
      </w: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gazdaságpolitika,</w:t>
      </w:r>
    </w:p>
    <w:p w14:paraId="105364C6" w14:textId="58E08398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·         a </w:t>
      </w:r>
      <w:r w:rsidR="000B5F47"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vár</w:t>
      </w:r>
      <w:r w:rsidRPr="00144C60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megyei,</w:t>
      </w: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ezen belül a járási területfejlesztési operatív program,</w:t>
      </w:r>
    </w:p>
    <w:p w14:paraId="6A4DC65C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nemzeti és EU-s pályázati források,</w:t>
      </w:r>
    </w:p>
    <w:p w14:paraId="44BFADBC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a település adottságai, a lakosság összetétele, igényei,</w:t>
      </w:r>
    </w:p>
    <w:p w14:paraId="0878D7DF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 az önkormányzat vagyoni helyzete, jelenlegi, illetve várható pénzügyi kondíciói,</w:t>
      </w:r>
    </w:p>
    <w:p w14:paraId="1EFE3FEF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 a polgármesteri program,</w:t>
      </w:r>
    </w:p>
    <w:p w14:paraId="1AE776F6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a képviselő-testület javaslatai,</w:t>
      </w:r>
    </w:p>
    <w:p w14:paraId="3CCB8B9E" w14:textId="77777777" w:rsidR="001C38FD" w:rsidRPr="001C38FD" w:rsidRDefault="001C38FD" w:rsidP="000B5F47">
      <w:pPr>
        <w:spacing w:after="15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1C38FD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·         a településen működő intézmények és szervezetek javaslatai, elvárásai.</w:t>
      </w:r>
    </w:p>
    <w:p w14:paraId="67B7F47A" w14:textId="77777777" w:rsidR="00A95289" w:rsidRDefault="00A95289" w:rsidP="001C38FD">
      <w:p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</w:p>
    <w:p w14:paraId="172AE27C" w14:textId="77777777" w:rsidR="001C38FD" w:rsidRPr="001C38FD" w:rsidRDefault="001C38FD" w:rsidP="001C38FD">
      <w:p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lastRenderedPageBreak/>
        <w:t>A gazdasági programban meghatározott célok eléréséhez a Képviselő-testületnek az alábbiakra kell koncentrálnia:</w:t>
      </w:r>
    </w:p>
    <w:p w14:paraId="633F73AE" w14:textId="77777777" w:rsidR="001C38FD" w:rsidRP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a célkitűzések egymásra épülő megvalósítására,</w:t>
      </w:r>
    </w:p>
    <w:p w14:paraId="1445C2BD" w14:textId="77777777" w:rsidR="001C38FD" w:rsidRP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a szükséges anyagi források és eszközök megteremtésére</w:t>
      </w:r>
    </w:p>
    <w:p w14:paraId="534C8F0C" w14:textId="77777777" w:rsidR="001C38FD" w:rsidRP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helyi lakosság elvárásai, igényei.</w:t>
      </w:r>
    </w:p>
    <w:p w14:paraId="3B1896A7" w14:textId="77777777" w:rsidR="001C38FD" w:rsidRPr="001C38FD" w:rsidRDefault="001C38FD" w:rsidP="001C38FD">
      <w:p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Az anyagi eszközök megteremtéséhez nem elegendő az évről-évre keletkező források (pl. állami támogatás, helyi bevételek) megléte, hanem szükség van:</w:t>
      </w:r>
    </w:p>
    <w:p w14:paraId="39584F99" w14:textId="77777777" w:rsidR="001C38FD" w:rsidRP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a pályázati lehetőségek felkutatására és kiaknázására,</w:t>
      </w:r>
    </w:p>
    <w:p w14:paraId="0BF26CA3" w14:textId="77777777" w:rsidR="001C38FD" w:rsidRP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az önkormányzat sajátosságaira támaszkodva új lehetőségek keresésére,</w:t>
      </w:r>
    </w:p>
    <w:p w14:paraId="6E3E6AB3" w14:textId="77777777" w:rsidR="001C38FD" w:rsidRDefault="001C38FD" w:rsidP="00FC18B7">
      <w:pPr>
        <w:spacing w:after="150" w:line="276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C38FD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– a meglévő források nagyobb mértékű kihasználására.</w:t>
      </w:r>
    </w:p>
    <w:p w14:paraId="6B904BC9" w14:textId="77777777" w:rsidR="004C383B" w:rsidRDefault="004C383B" w:rsidP="001C38FD">
      <w:p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</w:p>
    <w:p w14:paraId="19B85A7A" w14:textId="77777777" w:rsidR="001C38FD" w:rsidRDefault="00D74EAB" w:rsidP="001C38FD">
      <w:pPr>
        <w:spacing w:after="150" w:line="36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hu-HU"/>
        </w:rPr>
      </w:pPr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hu-HU"/>
        </w:rPr>
        <w:t>A Gazdasági Program részletei:</w:t>
      </w:r>
    </w:p>
    <w:p w14:paraId="5073C8EB" w14:textId="77777777" w:rsidR="00D74EAB" w:rsidRPr="00144C60" w:rsidRDefault="00E05742" w:rsidP="001C38FD">
      <w:pPr>
        <w:spacing w:after="150" w:line="36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hu-HU"/>
        </w:rPr>
        <w:t>Fő cél:</w:t>
      </w:r>
    </w:p>
    <w:p w14:paraId="04EFCDF8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Az Önkormányzat működőképessége</w:t>
      </w:r>
    </w:p>
    <w:p w14:paraId="7EBD5A76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 település életképességének növelése</w:t>
      </w:r>
    </w:p>
    <w:p w14:paraId="414469FC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Az elvándorlás megfékezése</w:t>
      </w:r>
    </w:p>
    <w:p w14:paraId="78A2D1F8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Szociális biztonság</w:t>
      </w:r>
    </w:p>
    <w:p w14:paraId="195E06BD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Közbiztonság</w:t>
      </w:r>
    </w:p>
    <w:p w14:paraId="47354D03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Munkahelyek teremtése</w:t>
      </w:r>
    </w:p>
    <w:p w14:paraId="62D84973" w14:textId="77777777" w:rsidR="00E05742" w:rsidRPr="00144C60" w:rsidRDefault="00E05742" w:rsidP="00E05742">
      <w:pPr>
        <w:pStyle w:val="Listaszerbekezds"/>
        <w:numPr>
          <w:ilvl w:val="0"/>
          <w:numId w:val="1"/>
        </w:numPr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A lakosság közérzetének javítása</w:t>
      </w:r>
    </w:p>
    <w:p w14:paraId="5836C768" w14:textId="77777777" w:rsidR="002D4496" w:rsidRPr="00144C60" w:rsidRDefault="002D4496" w:rsidP="002D4496">
      <w:pPr>
        <w:pStyle w:val="Listaszerbekezds"/>
        <w:spacing w:after="150" w:line="360" w:lineRule="auto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</w:p>
    <w:p w14:paraId="1B685C66" w14:textId="77777777" w:rsidR="002D4496" w:rsidRPr="00144C60" w:rsidRDefault="002D4496" w:rsidP="002D4496">
      <w:pPr>
        <w:spacing w:after="150" w:line="360" w:lineRule="auto"/>
        <w:ind w:left="360"/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</w:pPr>
      <w:r w:rsidRPr="00144C60">
        <w:rPr>
          <w:rFonts w:ascii="Helvetica" w:eastAsia="Times New Roman" w:hAnsi="Helvetica" w:cs="Helvetica"/>
          <w:color w:val="333333"/>
          <w:sz w:val="24"/>
          <w:szCs w:val="24"/>
          <w:lang w:eastAsia="hu-HU"/>
        </w:rPr>
        <w:t>Konkrét pályázati célok 2025-2026-ban</w:t>
      </w:r>
    </w:p>
    <w:p w14:paraId="0DAD6C0E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/>
        </w:rPr>
      </w:pPr>
      <w:r w:rsidRPr="002D4496">
        <w:rPr>
          <w:rFonts w:ascii="Arial" w:hAnsi="Arial"/>
        </w:rPr>
        <w:t>- Kossuth Lajos utcai csapadékvíz elvezetés (Nagy utca és a Jókai utca között 847,5 méter hosszúságban)</w:t>
      </w:r>
    </w:p>
    <w:p w14:paraId="51171500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/>
        </w:rPr>
      </w:pPr>
      <w:r w:rsidRPr="002D4496">
        <w:rPr>
          <w:rFonts w:ascii="Arial" w:hAnsi="Arial"/>
        </w:rPr>
        <w:t>- Justh Zsigmond Művelődési Ház és Könyvtár épületének állagmegóvása tető szigeteléssel</w:t>
      </w:r>
    </w:p>
    <w:p w14:paraId="7D8D7883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/>
        </w:rPr>
      </w:pPr>
      <w:r w:rsidRPr="002D4496">
        <w:rPr>
          <w:rFonts w:ascii="Arial" w:hAnsi="Arial"/>
        </w:rPr>
        <w:t>- Tót-asszony” Közösségi Ház belső felújítása, korszerűsítése, külső energetikai fejlesztése.</w:t>
      </w:r>
    </w:p>
    <w:p w14:paraId="37553FCA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 w:cs="Arial"/>
          <w:szCs w:val="20"/>
        </w:rPr>
      </w:pPr>
      <w:r w:rsidRPr="002D4496">
        <w:rPr>
          <w:rFonts w:ascii="Arial" w:hAnsi="Arial" w:cs="Arial"/>
          <w:szCs w:val="20"/>
        </w:rPr>
        <w:t>- Gádoros, Fő utca 30. szám alatti Gondozási Központ energetikai felújítása</w:t>
      </w:r>
    </w:p>
    <w:p w14:paraId="5C7CE825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 w:cs="Arial"/>
          <w:szCs w:val="20"/>
        </w:rPr>
      </w:pPr>
      <w:r w:rsidRPr="002D4496">
        <w:rPr>
          <w:rFonts w:ascii="Arial" w:hAnsi="Arial" w:cs="Arial"/>
          <w:szCs w:val="20"/>
        </w:rPr>
        <w:t>- Gádoros belterület közvilágítás korszerűsítése</w:t>
      </w:r>
    </w:p>
    <w:p w14:paraId="3EE2C362" w14:textId="77777777" w:rsidR="002D4496" w:rsidRPr="002D4496" w:rsidRDefault="002D4496" w:rsidP="002D4496">
      <w:pPr>
        <w:pStyle w:val="Listaszerbekezds"/>
        <w:numPr>
          <w:ilvl w:val="0"/>
          <w:numId w:val="1"/>
        </w:numPr>
        <w:spacing w:after="150" w:line="360" w:lineRule="auto"/>
        <w:rPr>
          <w:rFonts w:ascii="Arial" w:hAnsi="Arial" w:cs="Arial"/>
          <w:szCs w:val="20"/>
        </w:rPr>
      </w:pPr>
      <w:r w:rsidRPr="002D4496">
        <w:rPr>
          <w:rFonts w:ascii="Arial" w:hAnsi="Arial" w:cs="Arial"/>
          <w:szCs w:val="20"/>
        </w:rPr>
        <w:t>- Jókai utca burkolatának részleges felújítása</w:t>
      </w:r>
    </w:p>
    <w:p w14:paraId="4AE260C8" w14:textId="77777777" w:rsidR="000038CB" w:rsidRPr="00144C60" w:rsidRDefault="000038CB" w:rsidP="00C6454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44C60">
        <w:rPr>
          <w:rFonts w:ascii="Arial" w:hAnsi="Arial" w:cs="Arial"/>
          <w:b/>
          <w:bCs/>
          <w:sz w:val="24"/>
          <w:szCs w:val="24"/>
        </w:rPr>
        <w:lastRenderedPageBreak/>
        <w:t>Önkormányzati vagyongyarapítás:</w:t>
      </w:r>
    </w:p>
    <w:p w14:paraId="69A7C2FA" w14:textId="77777777" w:rsidR="00F85DC2" w:rsidRPr="00144C60" w:rsidRDefault="00ED78BA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 xml:space="preserve">A meglévő ingatlanjaik felújításával szeretnének lehetőséget biztosítani vállalkozások (boltok, egyéb) létrejöttéhez. </w:t>
      </w:r>
    </w:p>
    <w:p w14:paraId="63EFE75B" w14:textId="77777777" w:rsidR="001C38FD" w:rsidRPr="00144C60" w:rsidRDefault="00ED78BA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 xml:space="preserve">Új befektetők és vállalkozások </w:t>
      </w:r>
      <w:r w:rsidR="000038CB" w:rsidRPr="00144C60">
        <w:rPr>
          <w:rFonts w:ascii="Arial" w:hAnsi="Arial" w:cs="Arial"/>
          <w:sz w:val="24"/>
          <w:szCs w:val="24"/>
        </w:rPr>
        <w:t>településre történő vonzása, helyi vállalkozások támogatása.</w:t>
      </w:r>
    </w:p>
    <w:p w14:paraId="058B758A" w14:textId="7C5781F9" w:rsidR="00ED78BA" w:rsidRPr="00144C60" w:rsidRDefault="002D4496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>A gyermek</w:t>
      </w:r>
      <w:r w:rsidR="00ED78BA" w:rsidRPr="00144C60">
        <w:rPr>
          <w:rFonts w:ascii="Arial" w:hAnsi="Arial" w:cs="Arial"/>
          <w:sz w:val="24"/>
          <w:szCs w:val="24"/>
        </w:rPr>
        <w:t>orvosi rendelőbe orvost szeretnének biztosítani</w:t>
      </w:r>
      <w:r w:rsidR="000038CB" w:rsidRPr="00144C60">
        <w:rPr>
          <w:rFonts w:ascii="Arial" w:hAnsi="Arial" w:cs="Arial"/>
          <w:sz w:val="24"/>
          <w:szCs w:val="24"/>
        </w:rPr>
        <w:t>.</w:t>
      </w:r>
    </w:p>
    <w:p w14:paraId="5228DCB0" w14:textId="77777777" w:rsidR="00ED78BA" w:rsidRPr="00144C60" w:rsidRDefault="00ED78BA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>Testvértelepülési kapcsolatok további ápolása, esetleges bővítése.</w:t>
      </w:r>
    </w:p>
    <w:p w14:paraId="04A73690" w14:textId="77777777" w:rsidR="00ED78BA" w:rsidRPr="00144C60" w:rsidRDefault="00ED78BA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>Sport és civil szervezetek és egyházak támogatása.</w:t>
      </w:r>
    </w:p>
    <w:p w14:paraId="1DE4F800" w14:textId="77777777" w:rsidR="00ED78BA" w:rsidRPr="00144C60" w:rsidRDefault="00ED78BA" w:rsidP="00C64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>Kulturális és települési rendezvények támogatása.</w:t>
      </w:r>
    </w:p>
    <w:p w14:paraId="5CBF9DE8" w14:textId="0CC6461A" w:rsidR="00EC1FCD" w:rsidRPr="00144C60" w:rsidRDefault="00ED78BA" w:rsidP="00ED78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C60">
        <w:rPr>
          <w:rFonts w:ascii="Arial" w:hAnsi="Arial" w:cs="Arial"/>
          <w:sz w:val="24"/>
          <w:szCs w:val="24"/>
        </w:rPr>
        <w:t xml:space="preserve">A cél </w:t>
      </w:r>
      <w:r w:rsidR="00C64540" w:rsidRPr="00144C60">
        <w:rPr>
          <w:rFonts w:ascii="Arial" w:hAnsi="Arial" w:cs="Arial"/>
          <w:sz w:val="24"/>
          <w:szCs w:val="24"/>
        </w:rPr>
        <w:t>adósságmentes Önkormányzat.</w:t>
      </w:r>
    </w:p>
    <w:p w14:paraId="3E19A9D1" w14:textId="0E8E09B1" w:rsidR="00C64540" w:rsidRDefault="00C64540" w:rsidP="00EC1FCD">
      <w:pPr>
        <w:spacing w:after="0" w:line="240" w:lineRule="auto"/>
        <w:jc w:val="both"/>
        <w:rPr>
          <w:rFonts w:ascii="Arial" w:hAnsi="Arial" w:cs="Arial"/>
        </w:rPr>
      </w:pPr>
      <w:r w:rsidRPr="00144C60">
        <w:rPr>
          <w:rFonts w:ascii="Arial" w:hAnsi="Arial" w:cs="Arial"/>
        </w:rPr>
        <w:t>Gádoros, 20</w:t>
      </w:r>
      <w:r w:rsidR="00B5043A" w:rsidRPr="00144C60">
        <w:rPr>
          <w:rFonts w:ascii="Arial" w:hAnsi="Arial" w:cs="Arial"/>
        </w:rPr>
        <w:t>2</w:t>
      </w:r>
      <w:r w:rsidR="002D4496" w:rsidRPr="00144C60">
        <w:rPr>
          <w:rFonts w:ascii="Arial" w:hAnsi="Arial" w:cs="Arial"/>
        </w:rPr>
        <w:t>5</w:t>
      </w:r>
      <w:r w:rsidRPr="00144C60">
        <w:rPr>
          <w:rFonts w:ascii="Arial" w:hAnsi="Arial" w:cs="Arial"/>
        </w:rPr>
        <w:t xml:space="preserve">. </w:t>
      </w:r>
      <w:r w:rsidR="003B769D" w:rsidRPr="00144C60">
        <w:rPr>
          <w:rFonts w:ascii="Arial" w:hAnsi="Arial" w:cs="Arial"/>
        </w:rPr>
        <w:t xml:space="preserve">április </w:t>
      </w:r>
      <w:r w:rsidR="002D4496" w:rsidRPr="00144C60">
        <w:rPr>
          <w:rFonts w:ascii="Arial" w:hAnsi="Arial" w:cs="Arial"/>
        </w:rPr>
        <w:t>15</w:t>
      </w:r>
      <w:r w:rsidR="003B769D" w:rsidRPr="00144C60">
        <w:rPr>
          <w:rFonts w:ascii="Arial" w:hAnsi="Arial" w:cs="Arial"/>
        </w:rPr>
        <w:t>.</w:t>
      </w:r>
    </w:p>
    <w:p w14:paraId="79949D46" w14:textId="77777777" w:rsidR="00EC1FCD" w:rsidRDefault="00EC1FCD" w:rsidP="00EC1FCD">
      <w:pPr>
        <w:spacing w:after="0" w:line="240" w:lineRule="auto"/>
        <w:jc w:val="both"/>
        <w:rPr>
          <w:rFonts w:ascii="Arial" w:hAnsi="Arial" w:cs="Arial"/>
        </w:rPr>
      </w:pPr>
    </w:p>
    <w:p w14:paraId="55628B47" w14:textId="77777777" w:rsidR="00C64540" w:rsidRDefault="00C64540" w:rsidP="00EC1FCD">
      <w:pPr>
        <w:spacing w:after="0" w:line="240" w:lineRule="auto"/>
        <w:jc w:val="both"/>
        <w:rPr>
          <w:rFonts w:ascii="Arial" w:hAnsi="Arial" w:cs="Arial"/>
        </w:rPr>
      </w:pPr>
    </w:p>
    <w:p w14:paraId="7DC55A3D" w14:textId="77777777" w:rsidR="002D5062" w:rsidRDefault="002D5062" w:rsidP="00EC1FCD">
      <w:pPr>
        <w:spacing w:after="0" w:line="240" w:lineRule="auto"/>
        <w:jc w:val="both"/>
        <w:rPr>
          <w:rFonts w:ascii="Arial" w:hAnsi="Arial" w:cs="Arial"/>
        </w:rPr>
      </w:pPr>
    </w:p>
    <w:p w14:paraId="55311C1D" w14:textId="5D4A64AE" w:rsidR="002D5062" w:rsidRDefault="002D5062" w:rsidP="00EC1FCD">
      <w:pPr>
        <w:spacing w:after="0" w:line="240" w:lineRule="auto"/>
        <w:jc w:val="both"/>
        <w:rPr>
          <w:rFonts w:ascii="Arial" w:hAnsi="Arial" w:cs="Arial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7D639847" wp14:editId="1AA28124">
            <wp:simplePos x="0" y="0"/>
            <wp:positionH relativeFrom="column">
              <wp:posOffset>3629025</wp:posOffset>
            </wp:positionH>
            <wp:positionV relativeFrom="paragraph">
              <wp:posOffset>114300</wp:posOffset>
            </wp:positionV>
            <wp:extent cx="1438910" cy="481330"/>
            <wp:effectExtent l="0" t="0" r="8890" b="0"/>
            <wp:wrapSquare wrapText="bothSides"/>
            <wp:docPr id="956545066" name="Kép 956545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9AFD21" w14:textId="5C1CF0B0" w:rsidR="002D5062" w:rsidRDefault="002D5062" w:rsidP="00EC1FCD">
      <w:pPr>
        <w:spacing w:after="0" w:line="240" w:lineRule="auto"/>
        <w:jc w:val="both"/>
        <w:rPr>
          <w:rFonts w:ascii="Arial" w:hAnsi="Arial" w:cs="Arial"/>
        </w:rPr>
      </w:pPr>
    </w:p>
    <w:p w14:paraId="015039EA" w14:textId="6D6A1F77" w:rsidR="002D5062" w:rsidRDefault="002D5062" w:rsidP="00EC1FCD">
      <w:pPr>
        <w:spacing w:after="0" w:line="240" w:lineRule="auto"/>
        <w:jc w:val="both"/>
        <w:rPr>
          <w:rFonts w:ascii="Arial" w:hAnsi="Arial" w:cs="Arial"/>
        </w:rPr>
      </w:pPr>
    </w:p>
    <w:p w14:paraId="5D9D44F5" w14:textId="0E842A02" w:rsidR="002D5062" w:rsidRDefault="002D5062" w:rsidP="00EC1FCD">
      <w:pPr>
        <w:spacing w:after="0" w:line="240" w:lineRule="auto"/>
        <w:jc w:val="both"/>
        <w:rPr>
          <w:rFonts w:ascii="Arial" w:hAnsi="Arial" w:cs="Arial"/>
        </w:rPr>
      </w:pPr>
    </w:p>
    <w:p w14:paraId="4085FE95" w14:textId="77777777" w:rsidR="00C64540" w:rsidRDefault="00C64540" w:rsidP="00EC1FCD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Dr. Szilágyi Tibor</w:t>
      </w:r>
    </w:p>
    <w:p w14:paraId="6F846129" w14:textId="77777777" w:rsidR="00C64540" w:rsidRDefault="00C64540" w:rsidP="00EC1FCD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polgármester</w:t>
      </w:r>
    </w:p>
    <w:sectPr w:rsidR="00C6454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6633B" w14:textId="77777777" w:rsidR="00425A7B" w:rsidRDefault="00425A7B" w:rsidP="00425A7B">
      <w:pPr>
        <w:spacing w:after="0" w:line="240" w:lineRule="auto"/>
      </w:pPr>
      <w:r>
        <w:separator/>
      </w:r>
    </w:p>
  </w:endnote>
  <w:endnote w:type="continuationSeparator" w:id="0">
    <w:p w14:paraId="5EDFA806" w14:textId="77777777" w:rsidR="00425A7B" w:rsidRDefault="00425A7B" w:rsidP="0042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3309207"/>
      <w:docPartObj>
        <w:docPartGallery w:val="Page Numbers (Bottom of Page)"/>
        <w:docPartUnique/>
      </w:docPartObj>
    </w:sdtPr>
    <w:sdtEndPr/>
    <w:sdtContent>
      <w:p w14:paraId="73483EC6" w14:textId="77777777" w:rsidR="00425A7B" w:rsidRDefault="00425A7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9D1429" w14:textId="77777777" w:rsidR="00425A7B" w:rsidRDefault="00425A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30497" w14:textId="77777777" w:rsidR="00425A7B" w:rsidRDefault="00425A7B" w:rsidP="00425A7B">
      <w:pPr>
        <w:spacing w:after="0" w:line="240" w:lineRule="auto"/>
      </w:pPr>
      <w:r>
        <w:separator/>
      </w:r>
    </w:p>
  </w:footnote>
  <w:footnote w:type="continuationSeparator" w:id="0">
    <w:p w14:paraId="43ABFFB7" w14:textId="77777777" w:rsidR="00425A7B" w:rsidRDefault="00425A7B" w:rsidP="00425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55F"/>
    <w:multiLevelType w:val="hybridMultilevel"/>
    <w:tmpl w:val="FA5A024C"/>
    <w:lvl w:ilvl="0" w:tplc="BB4E2A60">
      <w:start w:val="2019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DE521D"/>
    <w:multiLevelType w:val="hybridMultilevel"/>
    <w:tmpl w:val="4DF4E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62673">
    <w:abstractNumId w:val="0"/>
  </w:num>
  <w:num w:numId="2" w16cid:durableId="1141768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5D"/>
    <w:rsid w:val="000038CB"/>
    <w:rsid w:val="00013E34"/>
    <w:rsid w:val="000B07D9"/>
    <w:rsid w:val="000B5F47"/>
    <w:rsid w:val="00124C3C"/>
    <w:rsid w:val="00144C60"/>
    <w:rsid w:val="00192786"/>
    <w:rsid w:val="001B4381"/>
    <w:rsid w:val="001C38FD"/>
    <w:rsid w:val="001E43E5"/>
    <w:rsid w:val="001F5C76"/>
    <w:rsid w:val="00213680"/>
    <w:rsid w:val="002C5E8A"/>
    <w:rsid w:val="002D4496"/>
    <w:rsid w:val="002D44AE"/>
    <w:rsid w:val="002D5062"/>
    <w:rsid w:val="002D5F5E"/>
    <w:rsid w:val="003A335D"/>
    <w:rsid w:val="003B769D"/>
    <w:rsid w:val="003E5284"/>
    <w:rsid w:val="004032D1"/>
    <w:rsid w:val="00425A7B"/>
    <w:rsid w:val="00474502"/>
    <w:rsid w:val="00484E72"/>
    <w:rsid w:val="004C383B"/>
    <w:rsid w:val="0050593F"/>
    <w:rsid w:val="00517C14"/>
    <w:rsid w:val="00554761"/>
    <w:rsid w:val="0057111A"/>
    <w:rsid w:val="00572192"/>
    <w:rsid w:val="005A12BF"/>
    <w:rsid w:val="005B697A"/>
    <w:rsid w:val="005F7E78"/>
    <w:rsid w:val="00716931"/>
    <w:rsid w:val="008C57C6"/>
    <w:rsid w:val="008F01A6"/>
    <w:rsid w:val="0093455E"/>
    <w:rsid w:val="009E23DE"/>
    <w:rsid w:val="009E384F"/>
    <w:rsid w:val="00A95289"/>
    <w:rsid w:val="00A96EF5"/>
    <w:rsid w:val="00B14172"/>
    <w:rsid w:val="00B3403B"/>
    <w:rsid w:val="00B5043A"/>
    <w:rsid w:val="00B61F17"/>
    <w:rsid w:val="00B6548F"/>
    <w:rsid w:val="00C41418"/>
    <w:rsid w:val="00C64540"/>
    <w:rsid w:val="00D56862"/>
    <w:rsid w:val="00D74EAB"/>
    <w:rsid w:val="00DB21E9"/>
    <w:rsid w:val="00E05742"/>
    <w:rsid w:val="00E57586"/>
    <w:rsid w:val="00EC1FCD"/>
    <w:rsid w:val="00EC20ED"/>
    <w:rsid w:val="00ED78BA"/>
    <w:rsid w:val="00F76014"/>
    <w:rsid w:val="00F85DC2"/>
    <w:rsid w:val="00FA6FC3"/>
    <w:rsid w:val="00FB4D54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B70F"/>
  <w15:chartTrackingRefBased/>
  <w15:docId w15:val="{764C4204-F6A9-4367-954A-B290C366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C20ED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EC2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F76014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E0574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25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5A7B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25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25A7B"/>
  </w:style>
  <w:style w:type="paragraph" w:styleId="llb">
    <w:name w:val="footer"/>
    <w:basedOn w:val="Norml"/>
    <w:link w:val="llbChar"/>
    <w:uiPriority w:val="99"/>
    <w:unhideWhenUsed/>
    <w:rsid w:val="00425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5A7B"/>
  </w:style>
  <w:style w:type="table" w:styleId="Rcsostblzat">
    <w:name w:val="Table Grid"/>
    <w:basedOn w:val="Normltblzat"/>
    <w:uiPriority w:val="39"/>
    <w:rsid w:val="008C5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75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8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14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3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27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4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8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47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5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7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62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1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867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9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2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49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B%C3%A9k%C3%A9scsab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iki/Orosh%C3%A1z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939</Words>
  <Characters>6480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Németh Lászlóné</cp:lastModifiedBy>
  <cp:revision>9</cp:revision>
  <cp:lastPrinted>2025-05-28T06:48:00Z</cp:lastPrinted>
  <dcterms:created xsi:type="dcterms:W3CDTF">2025-04-08T13:21:00Z</dcterms:created>
  <dcterms:modified xsi:type="dcterms:W3CDTF">2025-05-28T07:01:00Z</dcterms:modified>
</cp:coreProperties>
</file>